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Peru</w:t>
      </w:r>
      <w:r>
        <w:t xml:space="preserve"> </w:t>
      </w:r>
      <w:r>
        <w:t xml:space="preserve">Lima</w:t>
      </w:r>
    </w:p>
    <w:p>
      <w:pPr>
        <w:pStyle w:val="FirstParagraph"/>
      </w:pPr>
      <w:r>
        <w:t xml:space="preserve">INVOICE</w:t>
      </w:r>
    </w:p>
    <w:p>
      <w:pPr>
        <w:pStyle w:val="BodyText"/>
      </w:pPr>
      <w:r>
        <w:t xml:space="preserve">Academic &amp; Professional Services</w:t>
      </w:r>
    </w:p>
    <w:p>
      <w:pPr>
        <w:pStyle w:val="BodyText"/>
      </w:pPr>
      <w:r>
        <w:t xml:space="preserve">Peru Lima – Official Document</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INV-LIM-2025-00472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Currency:</w:t>
      </w:r>
      <w:r>
        <w:t xml:space="preserve"> </w:t>
      </w:r>
      <w:r>
        <w:t xml:space="preserve">Peruvian Sol (PEN / S/)</w:t>
      </w:r>
    </w:p>
    <w:p>
      <w:pPr>
        <w:pStyle w:val="BodyText"/>
      </w:pPr>
      <w:r>
        <w:rPr>
          <w:bCs/>
          <w:b/>
        </w:rPr>
        <w:t xml:space="preserve">Country:</w:t>
      </w:r>
      <w:r>
        <w:t xml:space="preserve"> </w:t>
      </w:r>
      <w:r>
        <w:t xml:space="preserve">Peru – Lima</w:t>
      </w:r>
    </w:p>
    <w:bookmarkEnd w:id="20"/>
    <w:bookmarkStart w:id="21" w:name="issued-by-service-provider"/>
    <w:p>
      <w:pPr>
        <w:pStyle w:val="Heading4"/>
      </w:pPr>
      <w:r>
        <w:t xml:space="preserve">Issued By (Service Provider)</w:t>
      </w:r>
    </w:p>
    <w:p>
      <w:pPr>
        <w:pStyle w:val="FirstParagraph"/>
      </w:pPr>
      <w:r>
        <w:rPr>
          <w:bCs/>
          <w:b/>
        </w:rPr>
        <w:t xml:space="preserve">Dr. Ricardo Mendoza Salazar</w:t>
      </w:r>
    </w:p>
    <w:p>
      <w:pPr>
        <w:pStyle w:val="BodyText"/>
      </w:pPr>
      <w:r>
        <w:t xml:space="preserve">Professor of Economics &amp; Business Administration</w:t>
      </w:r>
    </w:p>
    <w:p>
      <w:pPr>
        <w:pStyle w:val="BodyText"/>
      </w:pPr>
      <w:r>
        <w:t xml:space="preserve">Facultad de Ciencias Económicas</w:t>
      </w:r>
    </w:p>
    <w:p>
      <w:pPr>
        <w:pStyle w:val="BodyText"/>
      </w:pPr>
      <w:r>
        <w:t xml:space="preserve">Universidad Nacional Mayor de San Marcos</w:t>
      </w:r>
    </w:p>
    <w:p>
      <w:pPr>
        <w:pStyle w:val="BodyText"/>
      </w:pPr>
      <w:r>
        <w:t xml:space="preserve">Av. Universitaria 1801, San Marcos</w:t>
      </w:r>
    </w:p>
    <w:p>
      <w:pPr>
        <w:pStyle w:val="BodyText"/>
      </w:pPr>
      <w:r>
        <w:t xml:space="preserve">Lima 15, Peru</w:t>
      </w:r>
    </w:p>
    <w:p>
      <w:pPr>
        <w:pStyle w:val="BodyText"/>
      </w:pPr>
      <w:r>
        <w:t xml:space="preserve">RUC: 10456789012</w:t>
      </w:r>
    </w:p>
    <w:p>
      <w:pPr>
        <w:pStyle w:val="BodyText"/>
      </w:pPr>
      <w:r>
        <w:t xml:space="preserve">Email: r.mendoza@unmsm.edu.pe</w:t>
      </w:r>
    </w:p>
    <w:p>
      <w:pPr>
        <w:pStyle w:val="BodyText"/>
      </w:pPr>
      <w:r>
        <w:t xml:space="preserve">Phone: +51 1 433-7700 ext. 214</w:t>
      </w:r>
    </w:p>
    <w:bookmarkEnd w:id="21"/>
    <w:bookmarkStart w:id="22" w:name="billed-to-client"/>
    <w:p>
      <w:pPr>
        <w:pStyle w:val="Heading4"/>
      </w:pPr>
      <w:r>
        <w:t xml:space="preserve">Billed To (Client)</w:t>
      </w:r>
    </w:p>
    <w:p>
      <w:pPr>
        <w:pStyle w:val="FirstParagraph"/>
      </w:pPr>
      <w:r>
        <w:rPr>
          <w:bCs/>
          <w:b/>
        </w:rPr>
        <w:t xml:space="preserve">Corporación Andina de Desarrollo Empresarial S.A.C.</w:t>
      </w:r>
    </w:p>
    <w:p>
      <w:pPr>
        <w:pStyle w:val="BodyText"/>
      </w:pPr>
      <w:r>
        <w:t xml:space="preserve">Attn: Lic. María Fernanda Quispe Rojas</w:t>
      </w:r>
    </w:p>
    <w:p>
      <w:pPr>
        <w:pStyle w:val="BodyText"/>
      </w:pPr>
      <w:r>
        <w:t xml:space="preserve">Gerente de Recursos Humanos</w:t>
      </w:r>
    </w:p>
    <w:p>
      <w:pPr>
        <w:pStyle w:val="BodyText"/>
      </w:pPr>
      <w:r>
        <w:t xml:space="preserve">Av. Javier Prado Este 4500, Of. 1204</w:t>
      </w:r>
    </w:p>
    <w:p>
      <w:pPr>
        <w:pStyle w:val="BodyText"/>
      </w:pPr>
      <w:r>
        <w:t xml:space="preserve">San Isidro, Lima 15081, Peru</w:t>
      </w:r>
    </w:p>
    <w:p>
      <w:pPr>
        <w:pStyle w:val="BodyText"/>
      </w:pPr>
      <w:r>
        <w:t xml:space="preserve">RUC: 20512345678</w:t>
      </w:r>
    </w:p>
    <w:p>
      <w:pPr>
        <w:pStyle w:val="BodyText"/>
      </w:pPr>
      <w:r>
        <w:t xml:space="preserve">Email: m.quispe@andinaempresarial.pe</w:t>
      </w:r>
    </w:p>
    <w:p>
      <w:pPr>
        <w:pStyle w:val="BodyText"/>
      </w:pPr>
      <w:r>
        <w:t xml:space="preserve">Phone: +51 1 242-8899</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(S/)</w:t>
            </w:r>
          </w:p>
        </w:tc>
        <w:tc>
          <w:tcPr/>
          <w:p>
            <w:pPr>
              <w:pStyle w:val="Compact"/>
              <w:jc w:val="left"/>
            </w:pPr>
            <w:r>
              <w:t xml:space="preserve">Amount (S/)</w:t>
            </w:r>
          </w:p>
        </w:tc>
      </w:tr>
      <w:tr>
        <w:tc>
          <w:tcPr/>
          <w:p>
            <w:pPr>
              <w:pStyle w:val="Compact"/>
              <w:jc w:val="left"/>
            </w:pPr>
            <w:r>
              <w:t xml:space="preserve">01</w:t>
            </w:r>
          </w:p>
        </w:tc>
        <w:tc>
          <w:tcPr/>
          <w:p>
            <w:pPr>
              <w:pStyle w:val="Compact"/>
              <w:jc w:val="left"/>
            </w:pPr>
            <w:r>
              <w:t xml:space="preserve">Professor-led executive workshop on "Advanced Macroeconomic Policy for Corporate Strategy" delivered at the client's headquarters in San Isidro, Lima. Includes preparation of teaching materials, case studies, and post-session evaluation report.</w:t>
            </w:r>
          </w:p>
        </w:tc>
        <w:tc>
          <w:tcPr/>
          <w:p>
            <w:pPr>
              <w:pStyle w:val="Compact"/>
              <w:jc w:val="left"/>
            </w:pPr>
            <w:r>
              <w:t xml:space="preserve">May 12,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Professor consultation session (4 hours) on regulatory compliance and tax optimization strategies under current Peruvian legislation, conducted virtually via secure video conference. Includes written summary of recommendations.</w:t>
            </w:r>
          </w:p>
        </w:tc>
        <w:tc>
          <w:tcPr/>
          <w:p>
            <w:pPr>
              <w:pStyle w:val="Compact"/>
              <w:jc w:val="left"/>
            </w:pPr>
            <w:r>
              <w:t xml:space="preserve">May 20, 2025</w:t>
            </w:r>
          </w:p>
        </w:tc>
        <w:tc>
          <w:tcPr/>
          <w:p>
            <w:pPr>
              <w:pStyle w:val="Compact"/>
              <w:jc w:val="left"/>
            </w:pPr>
            <w:r>
              <w:t xml:space="preserve">4</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03</w:t>
            </w:r>
          </w:p>
        </w:tc>
        <w:tc>
          <w:tcPr/>
          <w:p>
            <w:pPr>
              <w:pStyle w:val="Compact"/>
              <w:jc w:val="left"/>
            </w:pPr>
            <w:r>
              <w:t xml:space="preserve">Development and delivery of a 12-module online course titled "Financial Risk Management in Emerging Markets" for the client's mid-level management team (35 participants). Professor serves as lead instructor and content architect.</w:t>
            </w:r>
          </w:p>
        </w:tc>
        <w:tc>
          <w:tcPr/>
          <w:p>
            <w:pPr>
              <w:pStyle w:val="Compact"/>
              <w:jc w:val="left"/>
            </w:pPr>
            <w:r>
              <w:t xml:space="preserve">May 25 – Jun 10, 2025</w:t>
            </w:r>
          </w:p>
        </w:tc>
        <w:tc>
          <w:tcPr/>
          <w:p>
            <w:pPr>
              <w:pStyle w:val="Compact"/>
              <w:jc w:val="left"/>
            </w:pPr>
            <w:r>
              <w:t xml:space="preserve">12</w:t>
            </w:r>
          </w:p>
        </w:tc>
        <w:tc>
          <w:tcPr/>
          <w:p>
            <w:pPr>
              <w:pStyle w:val="Compact"/>
              <w:jc w:val="left"/>
            </w:pPr>
            <w:r>
              <w:t xml:space="preserve">680.00</w:t>
            </w:r>
          </w:p>
        </w:tc>
        <w:tc>
          <w:tcPr/>
          <w:p>
            <w:pPr>
              <w:pStyle w:val="Compact"/>
              <w:jc w:val="left"/>
            </w:pPr>
            <w:r>
              <w:t xml:space="preserve">8,160.00</w:t>
            </w:r>
          </w:p>
        </w:tc>
      </w:tr>
      <w:tr>
        <w:tc>
          <w:tcPr/>
          <w:p>
            <w:pPr>
              <w:pStyle w:val="Compact"/>
              <w:jc w:val="left"/>
            </w:pPr>
            <w:r>
              <w:t xml:space="preserve">04</w:t>
            </w:r>
          </w:p>
        </w:tc>
        <w:tc>
          <w:tcPr/>
          <w:p>
            <w:pPr>
              <w:pStyle w:val="Compact"/>
              <w:jc w:val="left"/>
            </w:pPr>
            <w:r>
              <w:t xml:space="preserve">Professor academic review and peer evaluation of the client's internal research paper on "Sustainable Development Goals and Peruvian SME Growth." Includes detailed written feedback, statistical methodology validation, and editorial corrections.</w:t>
            </w:r>
          </w:p>
        </w:tc>
        <w:tc>
          <w:tcPr/>
          <w:p>
            <w:pPr>
              <w:pStyle w:val="Compact"/>
              <w:jc w:val="left"/>
            </w:pPr>
            <w:r>
              <w:t xml:space="preserve">Jun 02, 2025</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05</w:t>
            </w:r>
          </w:p>
        </w:tc>
        <w:tc>
          <w:tcPr/>
          <w:p>
            <w:pPr>
              <w:pStyle w:val="Compact"/>
              <w:jc w:val="left"/>
            </w:pPr>
            <w:r>
              <w:t xml:space="preserve">Travel and accommodation expenses for the Professor's on-site visit to the client's regional office in Arequipa for a two-day training program. Includes round-trip airfare (Lima–Arequipa–Lima), hotel lodging, and local transportation as per company policy.</w:t>
            </w:r>
          </w:p>
        </w:tc>
        <w:tc>
          <w:tcPr/>
          <w:p>
            <w:pPr>
              <w:pStyle w:val="Compact"/>
              <w:jc w:val="left"/>
            </w:pPr>
            <w:r>
              <w:t xml:space="preserve">Jun 08–09,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06</w:t>
            </w:r>
          </w:p>
        </w:tc>
        <w:tc>
          <w:tcPr/>
          <w:p>
            <w:pPr>
              <w:pStyle w:val="Compact"/>
              <w:jc w:val="left"/>
            </w:pPr>
            <w:r>
              <w:t xml:space="preserve">Post-engagement follow-up: Professor provides a 90-minute Q&amp;A session and answers written questions from the client's leadership team regarding the materials and strategies covered during the engagement period.</w:t>
            </w:r>
          </w:p>
        </w:tc>
        <w:tc>
          <w:tcPr/>
          <w:p>
            <w:pPr>
              <w:pStyle w:val="Compact"/>
              <w:jc w:val="left"/>
            </w:pPr>
            <w:r>
              <w:t xml:space="preserve">Jun 13,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w:t>
            </w:r>
          </w:p>
        </w:tc>
        <w:tc>
          <w:tcPr/>
          <w:p>
            <w:pPr>
              <w:pStyle w:val="Compact"/>
              <w:jc w:val="left"/>
            </w:pPr>
            <w:r>
              <w:t xml:space="preserve">19,310.00</w:t>
            </w:r>
          </w:p>
        </w:tc>
      </w:tr>
      <w:tr>
        <w:tc>
          <w:tcPr/>
          <w:p>
            <w:pPr>
              <w:pStyle w:val="Compact"/>
              <w:jc w:val="left"/>
            </w:pPr>
            <w:r>
              <w:t xml:space="preserve">IGV – Impuesto General a las Ventas (18%)</w:t>
            </w:r>
          </w:p>
        </w:tc>
        <w:tc>
          <w:tcPr/>
          <w:p>
            <w:pPr>
              <w:pStyle w:val="Compact"/>
              <w:jc w:val="left"/>
            </w:pPr>
            <w:r>
              <w:t xml:space="preserve">3,475.80</w:t>
            </w:r>
          </w:p>
        </w:tc>
      </w:tr>
      <w:tr>
        <w:tc>
          <w:tcPr/>
          <w:p>
            <w:pPr>
              <w:pStyle w:val="Compact"/>
              <w:jc w:val="left"/>
            </w:pPr>
            <w:r>
              <w:t xml:space="preserve">Discount – Early Payment (5%)</w:t>
            </w:r>
          </w:p>
        </w:tc>
        <w:tc>
          <w:tcPr/>
          <w:p>
            <w:pPr>
              <w:pStyle w:val="Compact"/>
              <w:jc w:val="left"/>
            </w:pPr>
            <w:r>
              <w:t xml:space="preserve">(965.50)</w:t>
            </w:r>
          </w:p>
        </w:tc>
      </w:tr>
      <w:tr>
        <w:tc>
          <w:tcPr/>
          <w:p>
            <w:pPr>
              <w:pStyle w:val="Compact"/>
              <w:jc w:val="left"/>
            </w:pPr>
            <w:r>
              <w:t xml:space="preserve">GRAND TOTAL (S/)</w:t>
            </w:r>
          </w:p>
        </w:tc>
        <w:tc>
          <w:tcPr/>
          <w:p>
            <w:pPr>
              <w:pStyle w:val="Compact"/>
              <w:jc w:val="left"/>
            </w:pPr>
            <w:r>
              <w:t xml:space="preserve">21,820.30</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Banco de Crédito del Perú (BCP)</w:t>
      </w:r>
    </w:p>
    <w:p>
      <w:pPr>
        <w:pStyle w:val="BodyText"/>
      </w:pPr>
      <w:r>
        <w:rPr>
          <w:bCs/>
          <w:b/>
        </w:rPr>
        <w:t xml:space="preserve">Account Name:</w:t>
      </w:r>
      <w:r>
        <w:t xml:space="preserve"> </w:t>
      </w:r>
      <w:r>
        <w:t xml:space="preserve">Ricardo Mendoza Salazar</w:t>
      </w:r>
    </w:p>
    <w:p>
      <w:pPr>
        <w:pStyle w:val="BodyText"/>
      </w:pPr>
      <w:r>
        <w:rPr>
          <w:bCs/>
          <w:b/>
        </w:rPr>
        <w:t xml:space="preserve">Account Number (Cuenta Corriente):</w:t>
      </w:r>
      <w:r>
        <w:t xml:space="preserve"> </w:t>
      </w:r>
      <w:r>
        <w:t xml:space="preserve">191-12345678-0-19</w:t>
      </w:r>
    </w:p>
    <w:p>
      <w:pPr>
        <w:pStyle w:val="BodyText"/>
      </w:pPr>
      <w:r>
        <w:rPr>
          <w:bCs/>
          <w:b/>
        </w:rPr>
        <w:t xml:space="preserve">IBAN:</w:t>
      </w:r>
      <w:r>
        <w:t xml:space="preserve"> </w:t>
      </w:r>
      <w:r>
        <w:t xml:space="preserve">PE18 0021 0000 0019 1123 4567 80 19</w:t>
      </w:r>
    </w:p>
    <w:p>
      <w:pPr>
        <w:pStyle w:val="BodyText"/>
      </w:pPr>
      <w:r>
        <w:rPr>
          <w:bCs/>
          <w:b/>
        </w:rPr>
        <w:t xml:space="preserve">Reference:</w:t>
      </w:r>
      <w:r>
        <w:t xml:space="preserve"> </w:t>
      </w:r>
      <w:r>
        <w:t xml:space="preserve">INV-LIM-2025-00472</w:t>
      </w:r>
    </w:p>
    <w:p>
      <w:pPr>
        <w:pStyle w:val="BodyText"/>
      </w:pPr>
      <w:r>
        <w:rPr>
          <w:bCs/>
          <w:b/>
        </w:rPr>
        <w:t xml:space="preserve">Payment Terms:</w:t>
      </w:r>
      <w:r>
        <w:t xml:space="preserve"> </w:t>
      </w:r>
      <w:r>
        <w:t xml:space="preserve">Net 30 days from the date of this Invoice. Payment is due no later than July 15, 2025. A 5% early-payment discount applies if settled within 15 days of the Invoice issue date. Late payments will accrue interest at the rate established by the Superintendencia de Banca, Seguros y AFP (SBS) of Peru.</w:t>
      </w:r>
    </w:p>
    <w:bookmarkEnd w:id="23"/>
    <w:bookmarkStart w:id="24" w:name="important-notes-terms"/>
    <w:p>
      <w:pPr>
        <w:pStyle w:val="Heading4"/>
      </w:pPr>
      <w:r>
        <w:t xml:space="preserve">Important Notes &amp; Terms</w:t>
      </w:r>
    </w:p>
    <w:p>
      <w:pPr>
        <w:numPr>
          <w:ilvl w:val="0"/>
          <w:numId w:val="1001"/>
        </w:numPr>
        <w:pStyle w:val="Compact"/>
      </w:pPr>
      <w:r>
        <w:t xml:space="preserve">This Invoice is issued in accordance with the tax regulations of the Superintendencia Nacional de Aduanas y de Administración Tributaria (SUNAT) of Peru. The Professor is registered as an independent service provider (régimen de tercera categoría) and is responsible for filing the corresponding monthly tax declarations.</w:t>
      </w:r>
    </w:p>
    <w:p>
      <w:pPr>
        <w:numPr>
          <w:ilvl w:val="0"/>
          <w:numId w:val="1001"/>
        </w:numPr>
        <w:pStyle w:val="Compact"/>
      </w:pPr>
      <w:r>
        <w:t xml:space="preserve">All services described in this Invoice were performed by the Professor in his professional capacity as a full-time faculty member and certified academic consultant. The Professor warrants that all intellectual property contained in the teaching materials, course modules, and written reports delivered under this engagement shall be transferred to the client upon full payment of this Invoice.</w:t>
      </w:r>
    </w:p>
    <w:p>
      <w:pPr>
        <w:numPr>
          <w:ilvl w:val="0"/>
          <w:numId w:val="1001"/>
        </w:numPr>
        <w:pStyle w:val="Compact"/>
      </w:pPr>
      <w:r>
        <w:t xml:space="preserve">The IGV (Impuesto General a las Ventas) at 18% is applied in compliance with the Peruvian Tax Code (Código Tributario) and the current IGV rate in effect for the Republic of Peru. This Invoice is valid as a fiscal document (documento fiscal) for the client's accounting and tax-deduction purposes in Lima, Peru.</w:t>
      </w:r>
    </w:p>
    <w:p>
      <w:pPr>
        <w:numPr>
          <w:ilvl w:val="0"/>
          <w:numId w:val="1001"/>
        </w:numPr>
        <w:pStyle w:val="Compact"/>
      </w:pPr>
      <w:r>
        <w:t xml:space="preserve">Any dispute arising from this Invoice or the services rendered shall be subject to the jurisdiction of the civil and commercial courts of Lima, Peru, in accordance with the Peruvian Civil Code and the applicable commercial regulations.</w:t>
      </w:r>
    </w:p>
    <w:p>
      <w:pPr>
        <w:numPr>
          <w:ilvl w:val="0"/>
          <w:numId w:val="1001"/>
        </w:numPr>
        <w:pStyle w:val="Compact"/>
      </w:pPr>
      <w:r>
        <w:t xml:space="preserve">The client acknowledges that the Professor's availability for future engagements is subject to his academic calendar at the Universidad Nacional Mayor de San Marcos and any prior professional commitments. Scheduling requests should be submitted at least 30 days in advance.</w:t>
      </w:r>
    </w:p>
    <w:p>
      <w:pPr>
        <w:numPr>
          <w:ilvl w:val="0"/>
          <w:numId w:val="1001"/>
        </w:numPr>
        <w:pStyle w:val="Compact"/>
      </w:pPr>
      <w:r>
        <w:t xml:space="preserve">This Invoice constitutes the final and complete statement of charges for the services rendered during the period of May 12, 2025, through June 13, 2025. No additional fees or expenses shall be invoiced for the scope of work described herein.</w:t>
      </w:r>
    </w:p>
    <w:bookmarkEnd w:id="24"/>
    <w:p>
      <w:pPr>
        <w:pStyle w:val="FirstParagraph"/>
      </w:pPr>
      <w:r>
        <w:rPr>
          <w:bCs/>
          <w:b/>
        </w:rPr>
        <w:t xml:space="preserve">Dr. Ricardo Mendoza Salazar</w:t>
      </w:r>
      <w:r>
        <w:t xml:space="preserve"> </w:t>
      </w:r>
      <w:r>
        <w:t xml:space="preserve">– Professor &amp; Academic Consultant | Lima, Peru</w:t>
      </w:r>
    </w:p>
    <w:p>
      <w:pPr>
        <w:pStyle w:val="BodyText"/>
      </w:pPr>
      <w:r>
        <w:t xml:space="preserve">RUC: 10456789012 | SUNAT Registration: Tercera Categoría | DNI: 45678901</w:t>
      </w:r>
    </w:p>
    <w:p>
      <w:pPr>
        <w:pStyle w:val="BodyText"/>
      </w:pPr>
      <w:r>
        <w:t xml:space="preserve">This Invoice was generated electronically and is valid without a physical signature pursuant to SUNAT Resolution 140-2023-EF.</w:t>
      </w:r>
    </w:p>
    <w:p>
      <w:pPr>
        <w:pStyle w:val="BodyText"/>
      </w:pPr>
      <w:r>
        <w:t xml:space="preserve">Thank you for your business. We appreciate the opportunity to serve your organization from Peru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Peru Lima</dc:title>
  <dc:creator/>
  <dc:language>en</dc:language>
  <cp:keywords/>
  <dcterms:created xsi:type="dcterms:W3CDTF">2026-10-10T01:52:13Z</dcterms:created>
  <dcterms:modified xsi:type="dcterms:W3CDTF">2026-10-10T01:52:13Z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