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Istanbul,</w:t>
      </w:r>
      <w:r>
        <w:t xml:space="preserve"> </w:t>
      </w:r>
      <w:r>
        <w:t xml:space="preserve">Turkey</w:t>
      </w:r>
    </w:p>
    <w:p>
      <w:pPr>
        <w:pStyle w:val="FirstParagraph"/>
      </w:pPr>
      <w:r>
        <w:t xml:space="preserve">INVOICE</w:t>
      </w:r>
    </w:p>
    <w:p>
      <w:pPr>
        <w:pStyle w:val="BodyText"/>
      </w:pPr>
      <w:r>
        <w:t xml:space="preserve">Academic &amp; Professional Services</w:t>
      </w:r>
    </w:p>
    <w:p>
      <w:pPr>
        <w:pStyle w:val="BodyText"/>
      </w:pPr>
      <w:r>
        <w:t xml:space="preserve">PAID</w:t>
      </w:r>
    </w:p>
    <w:p>
      <w:pPr>
        <w:pStyle w:val="BodyText"/>
      </w:pPr>
      <w:r>
        <w:rPr>
          <w:bCs/>
          <w:b/>
        </w:rPr>
        <w:t xml:space="preserve">Invoice No:</w:t>
      </w:r>
      <w:r>
        <w:t xml:space="preserve"> </w:t>
      </w:r>
      <w:r>
        <w:t xml:space="preserve">TR-IST-2025-0047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Country:</w:t>
      </w:r>
      <w:r>
        <w:t xml:space="preserve"> </w:t>
      </w:r>
      <w:r>
        <w:t xml:space="preserve">Turkey Istanbul</w:t>
      </w:r>
    </w:p>
    <w:bookmarkStart w:id="20" w:name="issued-by-professor"/>
    <w:p>
      <w:pPr>
        <w:pStyle w:val="Heading3"/>
      </w:pPr>
      <w:r>
        <w:t xml:space="preserve">Issued By (Professor)</w:t>
      </w:r>
    </w:p>
    <w:p>
      <w:pPr>
        <w:pStyle w:val="FirstParagraph"/>
      </w:pPr>
      <w:r>
        <w:rPr>
          <w:bCs/>
          <w:b/>
        </w:rPr>
        <w:t xml:space="preserve">Prof. Dr. Ahmet Yılmaz</w:t>
      </w:r>
    </w:p>
    <w:p>
      <w:pPr>
        <w:pStyle w:val="BodyText"/>
      </w:pPr>
      <w:r>
        <w:t xml:space="preserve">Department of Economics &amp; Business Administration</w:t>
      </w:r>
    </w:p>
    <w:p>
      <w:pPr>
        <w:pStyle w:val="BodyText"/>
      </w:pPr>
      <w:r>
        <w:t xml:space="preserve">Istanbul Technical University (İTÜ)</w:t>
      </w:r>
    </w:p>
    <w:p>
      <w:pPr>
        <w:pStyle w:val="BodyText"/>
      </w:pPr>
      <w:r>
        <w:t xml:space="preserve">Mahmutbey, 34469 Istanbul, Turkey</w:t>
      </w:r>
    </w:p>
    <w:p>
      <w:pPr>
        <w:pStyle w:val="BodyText"/>
      </w:pPr>
      <w:r>
        <w:t xml:space="preserve">Tax ID (VKN): 1234567890</w:t>
      </w:r>
    </w:p>
    <w:p>
      <w:pPr>
        <w:pStyle w:val="BodyText"/>
      </w:pPr>
      <w:r>
        <w:t xml:space="preserve">Email: a.yilmaz@itu.edu.tr</w:t>
      </w:r>
    </w:p>
    <w:p>
      <w:pPr>
        <w:pStyle w:val="BodyText"/>
      </w:pPr>
      <w:r>
        <w:t xml:space="preserve">Phone: +90 212 291 20 00</w:t>
      </w:r>
    </w:p>
    <w:bookmarkEnd w:id="20"/>
    <w:bookmarkStart w:id="21" w:name="issued-to-client"/>
    <w:p>
      <w:pPr>
        <w:pStyle w:val="Heading3"/>
      </w:pPr>
      <w:r>
        <w:t xml:space="preserve">Issued To (Client)</w:t>
      </w:r>
    </w:p>
    <w:p>
      <w:pPr>
        <w:pStyle w:val="FirstParagraph"/>
      </w:pPr>
      <w:r>
        <w:rPr>
          <w:bCs/>
          <w:b/>
        </w:rPr>
        <w:t xml:space="preserve">Bosphorus Consulting Group A.Ş.</w:t>
      </w:r>
    </w:p>
    <w:p>
      <w:pPr>
        <w:pStyle w:val="BodyText"/>
      </w:pPr>
      <w:r>
        <w:t xml:space="preserve">Attn: Ms. Elif Kaya, General Manager</w:t>
      </w:r>
    </w:p>
    <w:p>
      <w:pPr>
        <w:pStyle w:val="BodyText"/>
      </w:pPr>
      <w:r>
        <w:t xml:space="preserve">Levent, Büyükdere Caddesi No: 180</w:t>
      </w:r>
    </w:p>
    <w:p>
      <w:pPr>
        <w:pStyle w:val="BodyText"/>
      </w:pPr>
      <w:r>
        <w:t xml:space="preserve">34330 Istanbul, Turkey</w:t>
      </w:r>
    </w:p>
    <w:p>
      <w:pPr>
        <w:pStyle w:val="BodyText"/>
      </w:pPr>
      <w:r>
        <w:t xml:space="preserve">Tax ID (VKN): 9876543210</w:t>
      </w:r>
    </w:p>
    <w:p>
      <w:pPr>
        <w:pStyle w:val="BodyText"/>
      </w:pPr>
      <w:r>
        <w:t xml:space="preserve">Email: e.kaya@bosphorusconsulting.com</w:t>
      </w:r>
    </w:p>
    <w:p>
      <w:pPr>
        <w:pStyle w:val="BodyText"/>
      </w:pPr>
      <w:r>
        <w:t xml:space="preserve">Phone: +90 212 355 40 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Professor-led academic research consultation on macroeconomic policy frameworks for the Istanbul metropolitan region, including data analysis and written report delivery.</w:t>
            </w:r>
          </w:p>
        </w:tc>
        <w:tc>
          <w:tcPr/>
          <w:p>
            <w:pPr>
              <w:pStyle w:val="Compact"/>
              <w:jc w:val="left"/>
            </w:pPr>
            <w:r>
              <w:t xml:space="preserve">02 Jun 2025</w:t>
            </w:r>
          </w:p>
        </w:tc>
        <w:tc>
          <w:tcPr/>
          <w:p>
            <w:pPr>
              <w:pStyle w:val="Compact"/>
              <w:jc w:val="left"/>
            </w:pPr>
            <w:r>
              <w:t xml:space="preserve">12 hours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Professor's keynote lecture and panel moderation at the Bosphorus International Business Forum held in Istanbul, Turkey. Includes preparation, delivery, and Q&amp;A session.</w:t>
            </w:r>
          </w:p>
        </w:tc>
        <w:tc>
          <w:tcPr/>
          <w:p>
            <w:pPr>
              <w:pStyle w:val="Compact"/>
              <w:jc w:val="left"/>
            </w:pPr>
            <w:r>
              <w:t xml:space="preserve">05 Jun 2025</w:t>
            </w:r>
          </w:p>
        </w:tc>
        <w:tc>
          <w:tcPr/>
          <w:p>
            <w:pPr>
              <w:pStyle w:val="Compact"/>
              <w:jc w:val="left"/>
            </w:pPr>
            <w:r>
              <w:t xml:space="preserve">1 event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Professor's peer review and editorial advisory services for the client's annual sustainability white paper, covering three full revision cycles.</w:t>
            </w:r>
          </w:p>
        </w:tc>
        <w:tc>
          <w:tcPr/>
          <w:p>
            <w:pPr>
              <w:pStyle w:val="Compact"/>
              <w:jc w:val="left"/>
            </w:pPr>
            <w:r>
              <w:t xml:space="preserve">08 Jun 2025</w:t>
            </w:r>
          </w:p>
        </w:tc>
        <w:tc>
          <w:tcPr/>
          <w:p>
            <w:pPr>
              <w:pStyle w:val="Compact"/>
              <w:jc w:val="left"/>
            </w:pPr>
            <w:r>
              <w:t xml:space="preserve">3 revisions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Professor-led executive training workshop on strategic financial modeling for senior management team (20 participants), conducted at the client's Istanbul office.</w:t>
            </w:r>
          </w:p>
        </w:tc>
        <w:tc>
          <w:tcPr/>
          <w:p>
            <w:pPr>
              <w:pStyle w:val="Compact"/>
              <w:jc w:val="left"/>
            </w:pPr>
            <w:r>
              <w:t xml:space="preserve">10 Jun 2025</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Professor's written expert opinion and advisory memorandum regarding regulatory compliance in the Turkish capital markets, delivered as a 25-page formal document.</w:t>
            </w:r>
          </w:p>
        </w:tc>
        <w:tc>
          <w:tcPr/>
          <w:p>
            <w:pPr>
              <w:pStyle w:val="Compact"/>
              <w:jc w:val="left"/>
            </w:pPr>
            <w:r>
              <w:t xml:space="preserve">12 Jun 2025</w:t>
            </w:r>
          </w:p>
        </w:tc>
        <w:tc>
          <w:tcPr/>
          <w:p>
            <w:pPr>
              <w:pStyle w:val="Compact"/>
              <w:jc w:val="left"/>
            </w:pPr>
            <w:r>
              <w:t xml:space="preserve">1 document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Professor's travel and accommodation expenses for on-site consultation visits to the client's facilities in Istanbul, Turkey (3 business days).</w:t>
            </w:r>
          </w:p>
        </w:tc>
        <w:tc>
          <w:tcPr/>
          <w:p>
            <w:pPr>
              <w:pStyle w:val="Compact"/>
              <w:jc w:val="left"/>
            </w:pPr>
            <w:r>
              <w:t xml:space="preserve">02–12 Jun 2025</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108,900.00 TRY</w:t>
            </w:r>
          </w:p>
        </w:tc>
      </w:tr>
      <w:tr>
        <w:tc>
          <w:tcPr/>
          <w:p>
            <w:pPr>
              <w:pStyle w:val="Compact"/>
              <w:jc w:val="left"/>
            </w:pPr>
            <w:r>
              <w:t xml:space="preserve">VAT (KDV) – 20%</w:t>
            </w:r>
          </w:p>
        </w:tc>
        <w:tc>
          <w:tcPr/>
          <w:p>
            <w:pPr>
              <w:pStyle w:val="Compact"/>
              <w:jc w:val="right"/>
            </w:pPr>
            <w:r>
              <w:t xml:space="preserve">21,780.00 TRY</w:t>
            </w:r>
          </w:p>
        </w:tc>
      </w:tr>
      <w:tr>
        <w:tc>
          <w:tcPr/>
          <w:p>
            <w:pPr>
              <w:pStyle w:val="Compact"/>
              <w:jc w:val="left"/>
            </w:pPr>
            <w:r>
              <w:t xml:space="preserve">Withholding Tax (Stopaj) – 20%</w:t>
            </w:r>
          </w:p>
        </w:tc>
        <w:tc>
          <w:tcPr/>
          <w:p>
            <w:pPr>
              <w:pStyle w:val="Compact"/>
              <w:jc w:val="right"/>
            </w:pPr>
            <w:r>
              <w:t xml:space="preserve">-21,780.00 TRY</w:t>
            </w:r>
          </w:p>
        </w:tc>
      </w:tr>
      <w:tr>
        <w:tc>
          <w:tcPr/>
          <w:p>
            <w:pPr>
              <w:pStyle w:val="Compact"/>
              <w:jc w:val="left"/>
            </w:pPr>
            <w:r>
              <w:t xml:space="preserve">Net Payable Amount</w:t>
            </w:r>
          </w:p>
        </w:tc>
        <w:tc>
          <w:tcPr/>
          <w:p>
            <w:pPr>
              <w:pStyle w:val="Compact"/>
              <w:jc w:val="right"/>
            </w:pPr>
            <w:r>
              <w:t xml:space="preserve">108,900.00 TRY</w:t>
            </w:r>
          </w:p>
        </w:tc>
      </w:tr>
    </w:tbl>
    <w:p>
      <w:pPr>
        <w:pStyle w:val="BodyText"/>
      </w:pPr>
      <w:r>
        <w:rPr>
          <w:bCs/>
          <w:b/>
        </w:rPr>
        <w:t xml:space="preserve">Invoice Notes:</w:t>
      </w:r>
    </w:p>
    <w:p>
      <w:pPr>
        <w:pStyle w:val="BodyText"/>
      </w:pPr>
      <w:r>
        <w:t xml:space="preserve">This Invoice is issued by Professor Dr. Ahmet Yılmaz in accordance with the Turkish Commercial Code (Türk Ticaret Kanunu) and the relevant provisions of the Turkish Tax Procedure Law (Vergi Usul Kanunu). All services described herein were rendered by the Professor in his capacity as an independent academic consultant operating from Istanbul, Turkey. The Professor confirms that all intellectual property rights associated with the deliverables specified in this Invoice shall remain with the Professor unless otherwise agreed in a separate written contract. Payment for this Invoice shall be made via bank transfer to the account details provided below. The client is reminded that this Invoice must be retained for a minimum of ten (10) years in compliance with Turkish record-keeping regulations applicable to all commercial transactions conducted in Turkey Istanbul and its metropolitan districts.</w:t>
      </w:r>
    </w:p>
    <w:p>
      <w:pPr>
        <w:pStyle w:val="BodyText"/>
      </w:pPr>
      <w:r>
        <w:rPr>
          <w:bCs/>
          <w:b/>
        </w:rPr>
        <w:t xml:space="preserve">Bank Details:</w:t>
      </w:r>
      <w:r>
        <w:t xml:space="preserve"> </w:t>
      </w:r>
      <w:r>
        <w:t xml:space="preserve">Ziraat Bankası A.Ş. – IBAN: TR12 0001 0000 1234 5678 9012 34 – SWIFT: TCZBTR2A</w:t>
      </w:r>
    </w:p>
    <w:bookmarkStart w:id="22" w:name="X7315bd8bf12edfa8961a62d5a3ac486fb09047b"/>
    <w:p>
      <w:pPr>
        <w:pStyle w:val="Heading4"/>
      </w:pPr>
      <w:r>
        <w:t xml:space="preserve">Terms and Conditions Governing This Invoice</w:t>
      </w:r>
    </w:p>
    <w:p>
      <w:pPr>
        <w:numPr>
          <w:ilvl w:val="0"/>
          <w:numId w:val="1001"/>
        </w:numPr>
        <w:pStyle w:val="Compact"/>
      </w:pPr>
      <w:r>
        <w:t xml:space="preserve">This Invoice constitutes a formal request for payment for professional academic services rendered by the Professor to the client. The Professor warrants that all services were performed with due professional diligence and in accordance with the standards expected of a senior academic in Turkey Istanbul.</w:t>
      </w:r>
    </w:p>
    <w:p>
      <w:pPr>
        <w:numPr>
          <w:ilvl w:val="0"/>
          <w:numId w:val="1001"/>
        </w:numPr>
        <w:pStyle w:val="Compact"/>
      </w:pPr>
      <w:r>
        <w:t xml:space="preserve">Payment is due within fifteen (15) calendar days from the Issue Date stated on this Invoice. Late payments shall accrue interest at the statutory rate determined by the Turkish Ministry of Treasury and Finance.</w:t>
      </w:r>
    </w:p>
    <w:p>
      <w:pPr>
        <w:numPr>
          <w:ilvl w:val="0"/>
          <w:numId w:val="1001"/>
        </w:numPr>
        <w:pStyle w:val="Compact"/>
      </w:pPr>
      <w:r>
        <w:t xml:space="preserve">The Professor reserves the right to suspend any ongoing or future services if payment for this Invoice or any prior Invoice remains outstanding beyond the due date.</w:t>
      </w:r>
    </w:p>
    <w:p>
      <w:pPr>
        <w:numPr>
          <w:ilvl w:val="0"/>
          <w:numId w:val="1001"/>
        </w:numPr>
        <w:pStyle w:val="Compact"/>
      </w:pPr>
      <w:r>
        <w:t xml:space="preserve">All disputes arising from this Invoice shall be subject to the exclusive jurisdiction of the commercial courts of Istanbul, Turkey. The applicable law shall be the laws of the Republic of Turkey.</w:t>
      </w:r>
    </w:p>
    <w:p>
      <w:pPr>
        <w:numPr>
          <w:ilvl w:val="0"/>
          <w:numId w:val="1001"/>
        </w:numPr>
        <w:pStyle w:val="Compact"/>
      </w:pPr>
      <w:r>
        <w:t xml:space="preserve">This Invoice is valid for a period of ninety (90) days from the Issue Date. After this period, the Professor reserves the right to reissue the Invoice with updated tax calculations if statutory rates have changed.</w:t>
      </w:r>
    </w:p>
    <w:p>
      <w:pPr>
        <w:numPr>
          <w:ilvl w:val="0"/>
          <w:numId w:val="1001"/>
        </w:numPr>
        <w:pStyle w:val="Compact"/>
      </w:pPr>
      <w:r>
        <w:t xml:space="preserve">The client acknowledges that the Professor operates as a self-employed academic professional and is not an employee, agent, or partner of the client. This Invoice does not create any employment relationship between the parties.</w:t>
      </w:r>
    </w:p>
    <w:p>
      <w:pPr>
        <w:numPr>
          <w:ilvl w:val="0"/>
          <w:numId w:val="1001"/>
        </w:numPr>
        <w:pStyle w:val="Compact"/>
      </w:pPr>
      <w:r>
        <w:t xml:space="preserve">Any amendments to this Invoice must be made in writing and signed by both the Professor and an authorized representative of the client. Verbal modifications shall have no legal effect.</w:t>
      </w:r>
    </w:p>
    <w:p>
      <w:pPr>
        <w:numPr>
          <w:ilvl w:val="0"/>
          <w:numId w:val="1001"/>
        </w:numPr>
        <w:pStyle w:val="Compact"/>
      </w:pPr>
      <w:r>
        <w:t xml:space="preserve">The Professor shall issue a duplicate Invoice upon written request from the client, provided that the original Invoice has been lost or destroyed. The duplicate shall bear the notation "DUPLICATE – İKİNCİ SURET" in accordance with Turkish invoicing regulations.</w:t>
      </w:r>
    </w:p>
    <w:bookmarkEnd w:id="22"/>
    <w:p>
      <w:pPr>
        <w:pStyle w:val="FirstParagraph"/>
      </w:pPr>
      <w:r>
        <w:rPr>
          <w:bCs/>
          <w:b/>
        </w:rPr>
        <w:t xml:space="preserve">Invoice</w:t>
      </w:r>
      <w:r>
        <w:t xml:space="preserve"> </w:t>
      </w:r>
      <w:r>
        <w:t xml:space="preserve">TR-IST-2025-0047 | Issued by Professor Dr. Ahmet Yılmaz | Istanbul, Turkey</w:t>
      </w:r>
    </w:p>
    <w:p>
      <w:pPr>
        <w:pStyle w:val="BodyText"/>
      </w:pPr>
      <w:r>
        <w:t xml:space="preserve">This document is a legally binding Invoice under the laws of the Republic of Turkey. For inquiries regarding this Invoice, please contact the Professor's administrative office at Istanbul Technical University, Mahmutbey Campus, 34469 Istanbul, Turkey.</w:t>
      </w:r>
    </w:p>
    <w:p>
      <w:pPr>
        <w:pStyle w:val="BodyText"/>
      </w:pPr>
      <w:r>
        <w:t xml:space="preserve">© 2025 Prof. Dr. Ahmet Yılmaz – All Rights Reserved. This Invoice was generated in compliance with the e-Invoice (e-Fatura) regulations of the Turkish Revenue Administration (Gelir İdaresi Başkanlığı).</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Istanbul, Turkey</dc:title>
  <dc:creator/>
  <dc:language>en</dc:language>
  <cp:keywords/>
  <dcterms:created xsi:type="dcterms:W3CDTF">2026-10-10T02:33:08Z</dcterms:created>
  <dcterms:modified xsi:type="dcterms:W3CDTF">2026-10-10T02:33:08Z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