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Academic &amp; Professional Services – United Arab Emirates Dubai</w:t>
      </w:r>
    </w:p>
    <w:p>
      <w:pPr>
        <w:pStyle w:val="BodyText"/>
      </w:pPr>
      <w:r>
        <w:t xml:space="preserve">TAX INVOICE</w:t>
      </w:r>
    </w:p>
    <w:bookmarkEnd w:id="20"/>
    <w:bookmarkStart w:id="21" w:name="dr.-professor-ahmed-al-mansoori"/>
    <w:p>
      <w:pPr>
        <w:pStyle w:val="Heading3"/>
      </w:pPr>
      <w:r>
        <w:t xml:space="preserve">Dr. Professor Ahmed Al Mansoori</w:t>
      </w:r>
    </w:p>
    <w:p>
      <w:pPr>
        <w:pStyle w:val="FirstParagraph"/>
      </w:pPr>
      <w:r>
        <w:t xml:space="preserve">Senior Academic Consultant &amp; Professor of Business Administration</w:t>
      </w:r>
    </w:p>
    <w:p>
      <w:pPr>
        <w:pStyle w:val="BodyText"/>
      </w:pPr>
      <w:r>
        <w:t xml:space="preserve">Office 1204, Level 12, Burj Khalifa</w:t>
      </w:r>
    </w:p>
    <w:p>
      <w:pPr>
        <w:pStyle w:val="BodyText"/>
      </w:pPr>
      <w:r>
        <w:t xml:space="preserve">Downtown Dubai, United Arab Emirates</w:t>
      </w:r>
    </w:p>
    <w:p>
      <w:pPr>
        <w:pStyle w:val="BodyText"/>
      </w:pPr>
      <w:r>
        <w:t xml:space="preserve">Tel: +971 4 555 0192</w:t>
      </w:r>
    </w:p>
    <w:p>
      <w:pPr>
        <w:pStyle w:val="BodyText"/>
      </w:pPr>
      <w:r>
        <w:t xml:space="preserve">Email: a.mansoori@professor-dubai.ae</w:t>
      </w:r>
    </w:p>
    <w:p>
      <w:pPr>
        <w:pStyle w:val="BodyText"/>
      </w:pPr>
      <w:r>
        <w:t xml:space="preserve">TRN: 100234567800003</w:t>
      </w:r>
    </w:p>
    <w:bookmarkEnd w:id="21"/>
    <w:bookmarkStart w:id="22" w:name="invoice-details"/>
    <w:p>
      <w:pPr>
        <w:pStyle w:val="Heading4"/>
      </w:pPr>
      <w:r>
        <w:t xml:space="preserve">Invoice Details</w:t>
      </w:r>
    </w:p>
    <w:p>
      <w:pPr>
        <w:pStyle w:val="FirstParagraph"/>
      </w:pPr>
      <w:r>
        <w:t xml:space="preserve">Invoice No:</w:t>
      </w:r>
      <w:r>
        <w:t xml:space="preserve"> </w:t>
      </w:r>
      <w:r>
        <w:t xml:space="preserve">INV-2025-DXB-00472</w:t>
      </w:r>
    </w:p>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Currency:</w:t>
      </w:r>
      <w:r>
        <w:t xml:space="preserve"> </w:t>
      </w:r>
      <w:r>
        <w:t xml:space="preserve">AED (UAE Dirham)</w:t>
      </w:r>
    </w:p>
    <w:bookmarkEnd w:id="22"/>
    <w:bookmarkStart w:id="23" w:name="billed-to"/>
    <w:p>
      <w:pPr>
        <w:pStyle w:val="Heading4"/>
      </w:pPr>
      <w:r>
        <w:t xml:space="preserve">Billed To</w:t>
      </w:r>
    </w:p>
    <w:p>
      <w:pPr>
        <w:pStyle w:val="FirstParagraph"/>
      </w:pPr>
      <w:r>
        <w:t xml:space="preserve">Al Futtaim Academic Group LLC</w:t>
      </w:r>
    </w:p>
    <w:p>
      <w:pPr>
        <w:pStyle w:val="BodyText"/>
      </w:pPr>
      <w:r>
        <w:t xml:space="preserve">Building 7, Sheikh Zayed Road</w:t>
      </w:r>
    </w:p>
    <w:p>
      <w:pPr>
        <w:pStyle w:val="BodyText"/>
      </w:pPr>
      <w:r>
        <w:t xml:space="preserve">Dubai, United Arab Emirates</w:t>
      </w:r>
    </w:p>
    <w:p>
      <w:pPr>
        <w:pStyle w:val="BodyText"/>
      </w:pPr>
      <w:r>
        <w:t xml:space="preserve">Tax Registration No: 100987654300003</w:t>
      </w:r>
    </w:p>
    <w:p>
      <w:pPr>
        <w:pStyle w:val="BodyText"/>
      </w:pPr>
      <w:r>
        <w:t xml:space="preserve">Attn: Ms. Fatima Al Zahra, Procurement Director</w:t>
      </w:r>
    </w:p>
    <w:bookmarkEnd w:id="23"/>
    <w:bookmarkStart w:id="24" w:name="project-reference"/>
    <w:p>
      <w:pPr>
        <w:pStyle w:val="Heading4"/>
      </w:pPr>
      <w:r>
        <w:t xml:space="preserve">Project Reference</w:t>
      </w:r>
    </w:p>
    <w:p>
      <w:pPr>
        <w:pStyle w:val="FirstParagraph"/>
      </w:pPr>
      <w:r>
        <w:t xml:space="preserve">Ref:</w:t>
      </w:r>
      <w:r>
        <w:t xml:space="preserve"> </w:t>
      </w:r>
      <w:r>
        <w:t xml:space="preserve">PRJ-EDU-2025-031</w:t>
      </w:r>
    </w:p>
    <w:p>
      <w:pPr>
        <w:pStyle w:val="BodyText"/>
      </w:pPr>
      <w:r>
        <w:t xml:space="preserve">Contract:</w:t>
      </w:r>
      <w:r>
        <w:t xml:space="preserve"> </w:t>
      </w:r>
      <w:r>
        <w:t xml:space="preserve">CT-2025-0891</w:t>
      </w:r>
    </w:p>
    <w:p>
      <w:pPr>
        <w:pStyle w:val="BodyText"/>
      </w:pPr>
      <w:r>
        <w:t xml:space="preserve">Location:</w:t>
      </w:r>
      <w:r>
        <w:t xml:space="preserve"> </w:t>
      </w:r>
      <w:r>
        <w:t xml:space="preserve">Dubai, UAE</w:t>
      </w:r>
    </w:p>
    <w:p>
      <w:pPr>
        <w:pStyle w:val="BodyText"/>
      </w:pPr>
      <w:r>
        <w:t xml:space="preserve">Period:</w:t>
      </w:r>
      <w:r>
        <w:t xml:space="preserve"> </w:t>
      </w:r>
      <w:r>
        <w:t xml:space="preserve">Jan – Jun 2025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Professor-led Executive MBA Program Design &amp; Curriculum Development for Al Futtaim Academic Group, including syllabus creation, learning outcome mapping, and assessment framework design for the Dubai campus.</w:t>
            </w:r>
          </w:p>
        </w:tc>
        <w:tc>
          <w:tcPr/>
          <w:p>
            <w:pPr>
              <w:pStyle w:val="Compact"/>
              <w:jc w:val="left"/>
            </w:pPr>
            <w:r>
              <w:t xml:space="preserve">05 Jan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Professor's on-site delivery of 24 contact hours of advanced corporate governance lectures at the Dubai International Financial Centre (DIFC) training facility, including preparation of case studies and post-lecture evaluations.</w:t>
            </w:r>
          </w:p>
        </w:tc>
        <w:tc>
          <w:tcPr/>
          <w:p>
            <w:pPr>
              <w:pStyle w:val="Compact"/>
              <w:jc w:val="left"/>
            </w:pPr>
            <w:r>
              <w:t xml:space="preserve">12 Feb 2025</w:t>
            </w:r>
          </w:p>
        </w:tc>
        <w:tc>
          <w:tcPr/>
          <w:p>
            <w:pPr>
              <w:pStyle w:val="Compact"/>
              <w:jc w:val="left"/>
            </w:pPr>
            <w:r>
              <w:t xml:space="preserve">24</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Professor's peer review and academic audit of the existing Master of Business Administration program, producing a 45-page comprehensive report with recommendations for accreditation compliance under the UAE Ministry of Education standards.</w:t>
            </w:r>
          </w:p>
        </w:tc>
        <w:tc>
          <w:tcPr/>
          <w:p>
            <w:pPr>
              <w:pStyle w:val="Compact"/>
              <w:jc w:val="left"/>
            </w:pPr>
            <w:r>
              <w:t xml:space="preserve">20 Mar 2025</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Professor's facilitation of a two-day strategic leadership workshop for 60 senior executives at the Jumeirah Zabeel Saray venue, Dubai, including pre-workshop needs assessment, facilitation, and post-workshop action planning sessions.</w:t>
            </w:r>
          </w:p>
        </w:tc>
        <w:tc>
          <w:tcPr/>
          <w:p>
            <w:pPr>
              <w:pStyle w:val="Compact"/>
              <w:jc w:val="left"/>
            </w:pPr>
            <w:r>
              <w:t xml:space="preserve">08 Apr 2025</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Professor's supervision and mentorship of 8 doctoral research candidates enrolled in the joint research initiative between the institution and the University of Dubai, covering quarterly progress reviews, methodology guidance, and thesis chapter feedback.</w:t>
            </w:r>
          </w:p>
        </w:tc>
        <w:tc>
          <w:tcPr/>
          <w:p>
            <w:pPr>
              <w:pStyle w:val="Compact"/>
              <w:jc w:val="left"/>
            </w:pPr>
            <w:r>
              <w:t xml:space="preserve">15 May 2025</w:t>
            </w:r>
          </w:p>
        </w:tc>
        <w:tc>
          <w:tcPr/>
          <w:p>
            <w:pPr>
              <w:pStyle w:val="Compact"/>
              <w:jc w:val="left"/>
            </w:pPr>
            <w:r>
              <w:t xml:space="preserve">8</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6</w:t>
            </w:r>
          </w:p>
        </w:tc>
        <w:tc>
          <w:tcPr/>
          <w:p>
            <w:pPr>
              <w:pStyle w:val="Compact"/>
              <w:jc w:val="left"/>
            </w:pPr>
            <w:r>
              <w:t xml:space="preserve">Professor's publication of a co-authored research paper in the International Journal of Business Education (Q1 indexed) under the institutional research grant, including editorial coordination, data analysis, and open-access publication fees.</w:t>
            </w:r>
          </w:p>
        </w:tc>
        <w:tc>
          <w:tcPr/>
          <w:p>
            <w:pPr>
              <w:pStyle w:val="Compact"/>
              <w:jc w:val="left"/>
            </w:pPr>
            <w:r>
              <w:t xml:space="preserve">22 May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Professor's participation as keynote speaker at the Dubai International Education Summit 2025, delivering a 45-minute plenary address on "The Future of Higher Education in the United Arab Emirates" to an audience of 800 delegates.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Professor's travel, accommodation, and local transportation expenses incurred during on-site engagements in Dubai, United Arab Emirates, for the period January through June 2025, as per the approved expense policy.</w:t>
            </w:r>
          </w:p>
        </w:tc>
        <w:tc>
          <w:tcPr/>
          <w:p>
            <w:pPr>
              <w:pStyle w:val="Compact"/>
              <w:jc w:val="left"/>
            </w:pPr>
            <w:r>
              <w:t xml:space="preserve">30 Jun 2025</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193,000.00</w:t>
            </w:r>
          </w:p>
        </w:tc>
      </w:tr>
      <w:tr>
        <w:tc>
          <w:tcPr/>
          <w:p>
            <w:pPr>
              <w:pStyle w:val="Compact"/>
              <w:jc w:val="left"/>
            </w:pPr>
            <w:r>
              <w:t xml:space="preserve">VAT @ 5% (UAE Federal Tax Authority)</w:t>
            </w:r>
          </w:p>
        </w:tc>
        <w:tc>
          <w:tcPr/>
          <w:p>
            <w:pPr>
              <w:pStyle w:val="Compact"/>
              <w:jc w:val="left"/>
            </w:pPr>
            <w:r>
              <w:t xml:space="preserve">9,650.00</w:t>
            </w:r>
          </w:p>
        </w:tc>
      </w:tr>
      <w:tr>
        <w:tc>
          <w:tcPr/>
          <w:p>
            <w:pPr>
              <w:pStyle w:val="Compact"/>
              <w:jc w:val="left"/>
            </w:pPr>
            <w:r>
              <w:t xml:space="preserve">Discount (Early Payment – 2%)</w:t>
            </w:r>
          </w:p>
        </w:tc>
        <w:tc>
          <w:tcPr/>
          <w:p>
            <w:pPr>
              <w:pStyle w:val="Compact"/>
              <w:jc w:val="left"/>
            </w:pPr>
            <w:r>
              <w:t xml:space="preserve">-3,860.00</w:t>
            </w:r>
          </w:p>
        </w:tc>
      </w:tr>
      <w:tr>
        <w:tc>
          <w:tcPr/>
          <w:p>
            <w:pPr>
              <w:pStyle w:val="Compact"/>
              <w:jc w:val="left"/>
            </w:pPr>
            <w:r>
              <w:t xml:space="preserve">TOTAL DUE (AED)</w:t>
            </w:r>
          </w:p>
        </w:tc>
        <w:tc>
          <w:tcPr/>
          <w:p>
            <w:pPr>
              <w:pStyle w:val="Compact"/>
              <w:jc w:val="left"/>
            </w:pPr>
            <w:r>
              <w:t xml:space="preserve">198,790.00</w:t>
            </w:r>
          </w:p>
        </w:tc>
      </w:tr>
    </w:tbl>
    <w:p>
      <w:pPr>
        <w:pStyle w:val="BodyText"/>
      </w:pPr>
      <w:r>
        <w:t xml:space="preserve">VAT is calculated in accordance with the Federal Tax Authority regulations of the United Arab Emirates. This Invoice is issued in compliance with UAE tax law.</w:t>
      </w:r>
    </w:p>
    <w:bookmarkStart w:id="25" w:name="payment-terms-conditions"/>
    <w:p>
      <w:pPr>
        <w:pStyle w:val="Heading3"/>
      </w:pPr>
      <w:r>
        <w:t xml:space="preserve">Payment Terms &amp; Conditions</w:t>
      </w:r>
    </w:p>
    <w:p>
      <w:pPr>
        <w:pStyle w:val="FirstParagraph"/>
      </w:pPr>
      <w:r>
        <w:t xml:space="preserve">This Invoice is issued by Professor Ahmed Al Mansoori, a registered academic consultant operating in Dubai, United Arab Emirates, and is subject to the terms outlined in Contract CT-2025-0891. The total amount of AED 198,790.00 is due within thirty (30) calendar days from the Invoice date of 15 June 2025.</w:t>
      </w:r>
    </w:p>
    <w:p>
      <w:pPr>
        <w:numPr>
          <w:ilvl w:val="0"/>
          <w:numId w:val="1001"/>
        </w:numPr>
        <w:pStyle w:val="Compact"/>
      </w:pPr>
      <w:r>
        <w:t xml:space="preserve">Payment shall be made via bank transfer to: Emirates NBD Bank, Account Name: Dr. Professor Ahmed Al Mansoori, IBAN: AE0702400000000000000001, SWIFT: EMBAEADN.</w:t>
      </w:r>
    </w:p>
    <w:p>
      <w:pPr>
        <w:numPr>
          <w:ilvl w:val="0"/>
          <w:numId w:val="1001"/>
        </w:numPr>
        <w:pStyle w:val="Compact"/>
      </w:pPr>
      <w:r>
        <w:t xml:space="preserve">Late payments shall attract a penalty of 1.5% per month on the outstanding balance, in accordance with UAE commercial law.</w:t>
      </w:r>
    </w:p>
    <w:p>
      <w:pPr>
        <w:numPr>
          <w:ilvl w:val="0"/>
          <w:numId w:val="1001"/>
        </w:numPr>
        <w:pStyle w:val="Compact"/>
      </w:pPr>
      <w:r>
        <w:t xml:space="preserve">All services rendered by the Professor are subject to the intellectual property provisions of the master service agreement. Deliverables including curriculum materials, research publications, and workshop content remain the joint property of both parties as stipulated in the contract.</w:t>
      </w:r>
    </w:p>
    <w:p>
      <w:pPr>
        <w:numPr>
          <w:ilvl w:val="0"/>
          <w:numId w:val="1001"/>
        </w:numPr>
        <w:pStyle w:val="Compact"/>
      </w:pPr>
      <w:r>
        <w:t xml:space="preserve">This Invoice must be retained for a minimum period of five (5) years in compliance with the UAE Federal Tax Authority record-keeping requirements.</w:t>
      </w:r>
    </w:p>
    <w:p>
      <w:pPr>
        <w:numPr>
          <w:ilvl w:val="0"/>
          <w:numId w:val="1001"/>
        </w:numPr>
        <w:pStyle w:val="Compact"/>
      </w:pPr>
      <w:r>
        <w:t xml:space="preserve">Any disputes arising from this Invoice shall be resolved through the Dubai International Financial Centre (DIFC) Courts or by arbitration under the DIFC-LCIA Arbitration Rules.</w:t>
      </w:r>
    </w:p>
    <w:p>
      <w:pPr>
        <w:numPr>
          <w:ilvl w:val="0"/>
          <w:numId w:val="1001"/>
        </w:numPr>
        <w:pStyle w:val="Compact"/>
      </w:pPr>
      <w:r>
        <w:t xml:space="preserve">The Professor reserves the right to suspend ongoing services if payment is not received within the stipulated due date. A written notice of 7 days will be issued prior to any suspension.</w:t>
      </w:r>
    </w:p>
    <w:p>
      <w:pPr>
        <w:pStyle w:val="FirstParagraph"/>
      </w:pPr>
      <w:r>
        <w:rPr>
          <w:bCs/>
          <w:b/>
        </w:rPr>
        <w:t xml:space="preserve">Authorized Signatory:</w:t>
      </w:r>
      <w:r>
        <w:t xml:space="preserve"> </w:t>
      </w:r>
      <w:r>
        <w:t xml:space="preserve">Dr. Professor Ahmed Al Mansoori, Senior Academic Consultant &amp; Professor of Business Administration, Dubai, United Arab Emirates.</w:t>
      </w:r>
    </w:p>
    <w:bookmarkEnd w:id="25"/>
    <w:p>
      <w:pPr>
        <w:pStyle w:val="BodyText"/>
      </w:pPr>
      <w:r>
        <w:t xml:space="preserve">This Invoice was generated electronically and is valid without a physical signature. For queries regarding this Invoice, please contact the billing department at billing@professor-dubai.ae or call +971 4 555 0192.</w:t>
      </w:r>
    </w:p>
    <w:p>
      <w:pPr>
        <w:pStyle w:val="BodyText"/>
      </w:pPr>
      <w:r>
        <w:t xml:space="preserve">Dr. Professor Ahmed Al Mansoori | Academic Consulting Services | Dubai, United Arab Emirates | TRN: 100234567800003</w:t>
      </w:r>
    </w:p>
    <w:p>
      <w:pPr>
        <w:pStyle w:val="BodyText"/>
      </w:pPr>
      <w:r>
        <w:t xml:space="preserve">© 2025 Professor Al Mansoori Academic Services LLC. All rights reserved. Registered in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United Arab Emirates Dubai</dc:title>
  <dc:creator/>
  <dc:language>en</dc:language>
  <cp:keywords/>
  <dcterms:created xsi:type="dcterms:W3CDTF">2026-10-10T01:23:00Z</dcterms:created>
  <dcterms:modified xsi:type="dcterms:W3CDTF">2026-10-10T01:23:00Z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