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Academic &amp; Professional Consulting Services</w:t>
      </w:r>
    </w:p>
    <w:bookmarkEnd w:id="20"/>
    <w:p>
      <w:pPr>
        <w:pStyle w:val="BodyText"/>
      </w:pPr>
      <w:r>
        <w:rPr>
          <w:bCs/>
          <w:b/>
        </w:rPr>
        <w:t xml:space="preserve">Invoice No:</w:t>
      </w:r>
      <w:r>
        <w:t xml:space="preserve"> </w:t>
      </w:r>
      <w:r>
        <w:t xml:space="preserve">INV-2025-LDN-0487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United Kingdom</w:t>
      </w:r>
    </w:p>
    <w:bookmarkStart w:id="21" w:name="from-service-provider"/>
    <w:p>
      <w:pPr>
        <w:pStyle w:val="Heading3"/>
      </w:pPr>
      <w:r>
        <w:t xml:space="preserve">From (Service Provider)</w:t>
      </w:r>
    </w:p>
    <w:p>
      <w:pPr>
        <w:pStyle w:val="FirstParagraph"/>
      </w:pPr>
      <w:r>
        <w:rPr>
          <w:bCs/>
          <w:b/>
        </w:rPr>
        <w:t xml:space="preserve">Professor Eleanor Margaret Whitfield, PhD, FRS</w:t>
      </w:r>
    </w:p>
    <w:p>
      <w:pPr>
        <w:pStyle w:val="BodyText"/>
      </w:pPr>
      <w:r>
        <w:t xml:space="preserve">Chair of Applied Economics &amp; Policy Research</w:t>
      </w:r>
    </w:p>
    <w:p>
      <w:pPr>
        <w:pStyle w:val="BodyText"/>
      </w:pPr>
      <w:r>
        <w:t xml:space="preserve">Department of Economics and Business Studies</w:t>
      </w:r>
    </w:p>
    <w:p>
      <w:pPr>
        <w:pStyle w:val="BodyText"/>
      </w:pPr>
      <w:r>
        <w:t xml:space="preserve">University of London</w:t>
      </w:r>
    </w:p>
    <w:p>
      <w:pPr>
        <w:pStyle w:val="BodyText"/>
      </w:pPr>
      <w:r>
        <w:t xml:space="preserve">14-16 Woburn Square</w:t>
      </w:r>
    </w:p>
    <w:p>
      <w:pPr>
        <w:pStyle w:val="BodyText"/>
      </w:pPr>
      <w:r>
        <w:t xml:space="preserve">Bloomsbury, London WC1H 0AF</w:t>
      </w:r>
    </w:p>
    <w:p>
      <w:pPr>
        <w:pStyle w:val="BodyText"/>
      </w:pPr>
      <w:r>
        <w:t xml:space="preserve">United Kingdom</w:t>
      </w:r>
    </w:p>
    <w:p>
      <w:pPr>
        <w:pStyle w:val="BodyText"/>
      </w:pPr>
      <w:r>
        <w:t xml:space="preserve">Email: e.whitfield@london.ac.uk</w:t>
      </w:r>
    </w:p>
    <w:p>
      <w:pPr>
        <w:pStyle w:val="BodyText"/>
      </w:pPr>
      <w:r>
        <w:t xml:space="preserve">Telephone: +44 (0)20 7940 4000</w:t>
      </w:r>
    </w:p>
    <w:p>
      <w:pPr>
        <w:pStyle w:val="BodyText"/>
      </w:pPr>
      <w:r>
        <w:t xml:space="preserve">VAT Registration No: GB 987 6543 21</w:t>
      </w:r>
    </w:p>
    <w:bookmarkEnd w:id="21"/>
    <w:bookmarkStart w:id="22" w:name="billed-to-client"/>
    <w:p>
      <w:pPr>
        <w:pStyle w:val="Heading3"/>
      </w:pPr>
      <w:r>
        <w:t xml:space="preserve">Billed To (Client)</w:t>
      </w:r>
    </w:p>
    <w:p>
      <w:pPr>
        <w:pStyle w:val="FirstParagraph"/>
      </w:pPr>
      <w:r>
        <w:rPr>
          <w:bCs/>
          <w:b/>
        </w:rPr>
        <w:t xml:space="preserve">Thames Metropolitan Business Group Ltd</w:t>
      </w:r>
    </w:p>
    <w:p>
      <w:pPr>
        <w:pStyle w:val="BodyText"/>
      </w:pPr>
      <w:r>
        <w:t xml:space="preserve">Attn: Mr. Jonathan A. Hartley, Chief Executive Officer</w:t>
      </w:r>
    </w:p>
    <w:p>
      <w:pPr>
        <w:pStyle w:val="BodyText"/>
      </w:pPr>
      <w:r>
        <w:t xml:space="preserve">Level 22, 1 Canada Square</w:t>
      </w:r>
    </w:p>
    <w:p>
      <w:pPr>
        <w:pStyle w:val="BodyText"/>
      </w:pPr>
      <w:r>
        <w:t xml:space="preserve">Canary Wharf, London E14 5AB</w:t>
      </w:r>
    </w:p>
    <w:p>
      <w:pPr>
        <w:pStyle w:val="BodyText"/>
      </w:pPr>
      <w:r>
        <w:t xml:space="preserve">United Kingdom</w:t>
      </w:r>
    </w:p>
    <w:p>
      <w:pPr>
        <w:pStyle w:val="BodyText"/>
      </w:pPr>
      <w:r>
        <w:t xml:space="preserve">Company Registration No: 08765432</w:t>
      </w:r>
    </w:p>
    <w:p>
      <w:pPr>
        <w:pStyle w:val="BodyText"/>
      </w:pPr>
      <w:r>
        <w:t xml:space="preserve">VAT Registration No: GB 123 4567 89</w:t>
      </w:r>
    </w:p>
    <w:p>
      <w:pPr>
        <w:pStyle w:val="BodyText"/>
      </w:pPr>
      <w:r>
        <w:t xml:space="preserve">Email: j.hartley@thamesmet.co.uk</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Date of Service</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Professor Whitfield – Strategic Economic Advisory Consultation for Q2 2025 Market Expansion Strategy, including detailed analysis of post-Brexit trade implications for the London metropolitan business corridor and recommendations for cross-border investment within the United Kingdom.</w:t>
            </w:r>
          </w:p>
        </w:tc>
        <w:tc>
          <w:tcPr/>
          <w:p>
            <w:pPr>
              <w:pStyle w:val="Compact"/>
              <w:jc w:val="left"/>
            </w:pPr>
            <w:r>
              <w:t xml:space="preserve">03 Jun 2025</w:t>
            </w:r>
          </w:p>
        </w:tc>
        <w:tc>
          <w:tcPr/>
          <w:p>
            <w:pPr>
              <w:pStyle w:val="Compact"/>
              <w:jc w:val="left"/>
            </w:pPr>
            <w:r>
              <w:t xml:space="preserve">£450.00</w:t>
            </w:r>
          </w:p>
        </w:tc>
        <w:tc>
          <w:tcPr/>
          <w:p>
            <w:pPr>
              <w:pStyle w:val="Compact"/>
              <w:jc w:val="left"/>
            </w:pPr>
            <w:r>
              <w:t xml:space="preserve">6.0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Professor Whitfield – Preparation and delivery of a comprehensive written report titled "Macroeconomic Risk Assessment for London-Based Financial Institutions in 2025," submitted to the Board of Directors of Thames Metropolitan Business Group Ltd for internal governance purposes.</w:t>
            </w:r>
          </w:p>
        </w:tc>
        <w:tc>
          <w:tcPr/>
          <w:p>
            <w:pPr>
              <w:pStyle w:val="Compact"/>
              <w:jc w:val="left"/>
            </w:pPr>
            <w:r>
              <w:t xml:space="preserve">05 Jun 2025</w:t>
            </w:r>
          </w:p>
        </w:tc>
        <w:tc>
          <w:tcPr/>
          <w:p>
            <w:pPr>
              <w:pStyle w:val="Compact"/>
              <w:jc w:val="left"/>
            </w:pPr>
            <w:r>
              <w:t xml:space="preserve">£3,500.00</w:t>
            </w:r>
          </w:p>
        </w:tc>
        <w:tc>
          <w:tcPr/>
          <w:p>
            <w:pPr>
              <w:pStyle w:val="Compact"/>
              <w:jc w:val="left"/>
            </w:pPr>
            <w:r>
              <w:t xml:space="preserve">1.0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Professor Whitfield – Facilitation of a two-day executive workshop at the client's London headquarters, covering advanced econometric modelling techniques, regulatory compliance under UK financial services legislation, and practical applications of Professor Whitfield's published research in the field of behavioural economics for corporate decision-making.</w:t>
            </w:r>
          </w:p>
        </w:tc>
        <w:tc>
          <w:tcPr/>
          <w:p>
            <w:pPr>
              <w:pStyle w:val="Compact"/>
              <w:jc w:val="left"/>
            </w:pPr>
            <w:r>
              <w:t xml:space="preserve">09–10 Jun 2025</w:t>
            </w:r>
          </w:p>
        </w:tc>
        <w:tc>
          <w:tcPr/>
          <w:p>
            <w:pPr>
              <w:pStyle w:val="Compact"/>
              <w:jc w:val="left"/>
            </w:pPr>
            <w:r>
              <w:t xml:space="preserve">£850.00</w:t>
            </w:r>
          </w:p>
        </w:tc>
        <w:tc>
          <w:tcPr/>
          <w:p>
            <w:pPr>
              <w:pStyle w:val="Compact"/>
              <w:jc w:val="left"/>
            </w:pPr>
            <w:r>
              <w:t xml:space="preserve">16.0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Professor Whitfield – Peer review and academic validation of the client's internal sustainability and ESG performance white paper, providing formal academic endorsement and constructive scholarly feedback in accordance with the standards maintained by the Royal Economic Society, London.</w:t>
            </w:r>
          </w:p>
        </w:tc>
        <w:tc>
          <w:tcPr/>
          <w:p>
            <w:pPr>
              <w:pStyle w:val="Compact"/>
              <w:jc w:val="left"/>
            </w:pPr>
            <w:r>
              <w:t xml:space="preserve">11 Jun 2025</w:t>
            </w:r>
          </w:p>
        </w:tc>
        <w:tc>
          <w:tcPr/>
          <w:p>
            <w:pPr>
              <w:pStyle w:val="Compact"/>
              <w:jc w:val="left"/>
            </w:pPr>
            <w:r>
              <w:t xml:space="preserve">£1,200.00</w:t>
            </w:r>
          </w:p>
        </w:tc>
        <w:tc>
          <w:tcPr/>
          <w:p>
            <w:pPr>
              <w:pStyle w:val="Compact"/>
              <w:jc w:val="left"/>
            </w:pPr>
            <w:r>
              <w:t xml:space="preserve">1.0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Professor Whitfield – Travel and accommodation expenses incurred whilst conducting on-site research and data collection at the client's offices in Canary Wharf, London, United Kingdom, including intercity rail travel from the University of London campus and one night's accommodation at a local establishment.</w:t>
            </w:r>
          </w:p>
        </w:tc>
        <w:tc>
          <w:tcPr/>
          <w:p>
            <w:pPr>
              <w:pStyle w:val="Compact"/>
              <w:jc w:val="left"/>
            </w:pPr>
            <w:r>
              <w:t xml:space="preserve">03–11 Jun 2025</w:t>
            </w:r>
          </w:p>
        </w:tc>
        <w:tc>
          <w:tcPr/>
          <w:p>
            <w:pPr>
              <w:pStyle w:val="Compact"/>
              <w:jc w:val="left"/>
            </w:pPr>
            <w:r>
              <w:t xml:space="preserve">£485.00</w:t>
            </w:r>
          </w:p>
        </w:tc>
        <w:tc>
          <w:tcPr/>
          <w:p>
            <w:pPr>
              <w:pStyle w:val="Compact"/>
              <w:jc w:val="left"/>
            </w:pPr>
            <w:r>
              <w:t xml:space="preserve">1.0</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£21,485.00</w:t>
            </w:r>
          </w:p>
        </w:tc>
      </w:tr>
      <w:tr>
        <w:tc>
          <w:tcPr/>
          <w:p>
            <w:pPr>
              <w:pStyle w:val="Compact"/>
              <w:jc w:val="left"/>
            </w:pPr>
            <w:r>
              <w:t xml:space="preserve">VAT @ 20% (United Kingdom Standard Rate)</w:t>
            </w:r>
          </w:p>
        </w:tc>
        <w:tc>
          <w:tcPr/>
          <w:p>
            <w:pPr>
              <w:pStyle w:val="Compact"/>
              <w:jc w:val="left"/>
            </w:pPr>
            <w:r>
              <w:t xml:space="preserve">£4,297.00</w:t>
            </w:r>
          </w:p>
        </w:tc>
      </w:tr>
      <w:tr>
        <w:tc>
          <w:tcPr/>
          <w:p>
            <w:pPr>
              <w:pStyle w:val="Compact"/>
              <w:jc w:val="left"/>
            </w:pPr>
            <w:r>
              <w:t xml:space="preserve">Discount – Academic Partnership Agreement (5%)</w:t>
            </w:r>
          </w:p>
        </w:tc>
        <w:tc>
          <w:tcPr/>
          <w:p>
            <w:pPr>
              <w:pStyle w:val="Compact"/>
              <w:jc w:val="left"/>
            </w:pPr>
            <w:r>
              <w:t xml:space="preserve">-£1,074.25</w:t>
            </w:r>
          </w:p>
        </w:tc>
      </w:tr>
      <w:tr>
        <w:tc>
          <w:tcPr/>
          <w:p>
            <w:pPr>
              <w:pStyle w:val="Compact"/>
              <w:jc w:val="left"/>
            </w:pPr>
            <w:r>
              <w:t xml:space="preserve">Grand Total Due (Including VAT)</w:t>
            </w:r>
          </w:p>
        </w:tc>
        <w:tc>
          <w:tcPr/>
          <w:p>
            <w:pPr>
              <w:pStyle w:val="Compact"/>
              <w:jc w:val="left"/>
            </w:pPr>
            <w:r>
              <w:t xml:space="preserve">£24,707.75</w:t>
            </w:r>
          </w:p>
        </w:tc>
      </w:tr>
    </w:tbl>
    <w:bookmarkStart w:id="23" w:name="payment-instructions-terms"/>
    <w:p>
      <w:pPr>
        <w:pStyle w:val="Heading3"/>
      </w:pPr>
      <w:r>
        <w:t xml:space="preserve">Payment Instructions &amp; Terms</w:t>
      </w:r>
    </w:p>
    <w:p>
      <w:pPr>
        <w:pStyle w:val="FirstParagraph"/>
      </w:pPr>
      <w:r>
        <w:rPr>
          <w:bCs/>
          <w:b/>
        </w:rPr>
        <w:t xml:space="preserve">Method of Payment:</w:t>
      </w:r>
      <w:r>
        <w:t xml:space="preserve"> </w:t>
      </w:r>
      <w:r>
        <w:t xml:space="preserve">Bank Transfer (BACS / CHAPS) to the account detailed below. Cheques drawn on a United Kingdom bank are also acceptable, made payable to "Professor E.M. Whitfield – Academic Consulting."</w:t>
      </w:r>
    </w:p>
    <w:p>
      <w:pPr>
        <w:pStyle w:val="BodyText"/>
      </w:pPr>
      <w:r>
        <w:rPr>
          <w:bCs/>
          <w:b/>
        </w:rPr>
        <w:t xml:space="preserve">Bank Name:</w:t>
      </w:r>
      <w:r>
        <w:t xml:space="preserve"> </w:t>
      </w:r>
      <w:r>
        <w:t xml:space="preserve">Barclays Bank PLC</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55678901</w:t>
      </w:r>
    </w:p>
    <w:p>
      <w:pPr>
        <w:pStyle w:val="BodyText"/>
      </w:pPr>
      <w:r>
        <w:rPr>
          <w:bCs/>
          <w:b/>
        </w:rPr>
        <w:t xml:space="preserve">IBAN:</w:t>
      </w:r>
      <w:r>
        <w:t xml:space="preserve"> </w:t>
      </w:r>
      <w:r>
        <w:t xml:space="preserve">GB29 BARC 2015 8855 6789 01</w:t>
      </w:r>
    </w:p>
    <w:p>
      <w:pPr>
        <w:pStyle w:val="BodyText"/>
      </w:pPr>
      <w:r>
        <w:rPr>
          <w:bCs/>
          <w:b/>
        </w:rPr>
        <w:t xml:space="preserve">Reference:</w:t>
      </w:r>
      <w:r>
        <w:t xml:space="preserve"> </w:t>
      </w:r>
      <w:r>
        <w:t xml:space="preserve">INV-2025-LDN-0487</w:t>
      </w:r>
    </w:p>
    <w:p>
      <w:pPr>
        <w:pStyle w:val="BodyText"/>
      </w:pPr>
      <w:r>
        <w:rPr>
          <w:bCs/>
          <w:b/>
        </w:rPr>
        <w:t xml:space="preserve">Terms:</w:t>
      </w:r>
      <w:r>
        <w:t xml:space="preserve"> </w:t>
      </w:r>
      <w:r>
        <w:t xml:space="preserve">Full payment is due within thirty (30) calendar days of the date of issue of this Invoice, as per the terms agreed in the Master Services Contract dated 1 January 2025 between Professor Whitfield and Thames Metropolitan Business Group Ltd. Late payments shall attract interest at the rate of 4% per annum above the Bank of England base rate, in accordance with the Late Payment of Commercial Debts (Interest) Act 1998, as applicable in the United Kingdom.</w:t>
      </w:r>
    </w:p>
    <w:p>
      <w:pPr>
        <w:pStyle w:val="BodyText"/>
      </w:pPr>
      <w:r>
        <w:rPr>
          <w:bCs/>
          <w:b/>
        </w:rPr>
        <w:t xml:space="preserve">Disputes:</w:t>
      </w:r>
      <w:r>
        <w:t xml:space="preserve"> </w:t>
      </w:r>
      <w:r>
        <w:t xml:space="preserve">Any queries or disputes regarding this Invoice must be raised in writing within fourteen (14) days of receipt. Please direct all correspondence to the billing office at the University of London address stated above.</w:t>
      </w:r>
    </w:p>
    <w:bookmarkEnd w:id="23"/>
    <w:p>
      <w:pPr>
        <w:pStyle w:val="BodyText"/>
      </w:pPr>
      <w:r>
        <w:rPr>
          <w:bCs/>
          <w:b/>
        </w:rPr>
        <w:t xml:space="preserve">Notes:</w:t>
      </w:r>
    </w:p>
    <w:p>
      <w:pPr>
        <w:pStyle w:val="BodyText"/>
      </w:pPr>
      <w:r>
        <w:t xml:space="preserve">1. This Invoice has been issued in accordance with the requirements of HM Revenue &amp; Customs (HMRC), United Kingdom, and the Value Added Tax Act 1994. All amounts are stated in British Pounds Sterling (GBP).</w:t>
      </w:r>
    </w:p>
    <w:p>
      <w:pPr>
        <w:pStyle w:val="BodyText"/>
      </w:pPr>
      <w:r>
        <w:t xml:space="preserve">2. Professor Whitfield's services are provided in a personal capacity as an independent academic consultant. The University of London is not a party to this commercial arrangement, though the academic credentials and research affiliations referenced herein are maintained through the institution.</w:t>
      </w:r>
    </w:p>
    <w:p>
      <w:pPr>
        <w:pStyle w:val="BodyText"/>
      </w:pPr>
      <w:r>
        <w:t xml:space="preserve">3. All intellectual property rights in the written report referenced in Line Item 02 shall vest in Thames Metropolitan Business Group Ltd upon full and final settlement of this Invoice, subject to the Professor retaining the right to cite the work in future academic publications with appropriate attribution.</w:t>
      </w:r>
    </w:p>
    <w:p>
      <w:pPr>
        <w:pStyle w:val="BodyText"/>
      </w:pPr>
      <w:r>
        <w:t xml:space="preserve">4. This document constitutes a valid tax invoice for the purposes of VAT recovery in the United Kingdom. The client is advised to retain this Invoice for a minimum period of six (6) years in compliance with UK tax record-keeping obligations.</w:t>
      </w:r>
    </w:p>
    <w:p>
      <w:pPr>
        <w:pStyle w:val="BodyText"/>
      </w:pPr>
      <w:r>
        <w:t xml:space="preserve">5. For any further clarification regarding the services rendered, the Professor's office in Bloomsbury, London, United Kingdom, may be contacted during standard business hours (Monday to Friday, 09:00–17:00 GMT).</w:t>
      </w:r>
    </w:p>
    <w:p>
      <w:pPr>
        <w:pStyle w:val="BodyText"/>
      </w:pPr>
      <w:r>
        <w:t xml:space="preserve">Thank you for your business. We appreciate the opportunity to provide Professor Whitfield's academic expertise to your organisation in London, United Kingdom.</w:t>
      </w:r>
    </w:p>
    <w:p>
      <w:pPr>
        <w:pStyle w:val="BodyText"/>
      </w:pPr>
      <w:r>
        <w:t xml:space="preserve">This Invoice was generated electronically and is valid without a physical signature. For verification, please contact the issuing office at the address above.</w:t>
      </w:r>
    </w:p>
    <w:p>
      <w:pPr>
        <w:pStyle w:val="BodyText"/>
      </w:pPr>
      <w:r>
        <w:t xml:space="preserve">© 2025 Professor E.M. Whitfield – Academic &amp; Professional Consulting, London,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United Kingdom London</dc:title>
  <dc:creator/>
  <dc:language>en-GB</dc:language>
  <cp:keywords/>
  <dcterms:created xsi:type="dcterms:W3CDTF">2026-10-10T02:44:12Z</dcterms:created>
  <dcterms:modified xsi:type="dcterms:W3CDTF">2026-10-10T02:44:12Z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