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Consulting</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Invoice No.: INV-2025-HOU-04782</w:t>
      </w:r>
    </w:p>
    <w:p>
      <w:pPr>
        <w:pStyle w:val="BodyText"/>
      </w:pPr>
      <w:r>
        <w:t xml:space="preserve">PROFESSOR CONSULTING SERVICES</w:t>
      </w:r>
    </w:p>
    <w:bookmarkEnd w:id="20"/>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March 1, 2025 – May 31, 2025</w:t>
      </w:r>
    </w:p>
    <w:p>
      <w:pPr>
        <w:pStyle w:val="BodyText"/>
      </w:pPr>
      <w:r>
        <w:rPr>
          <w:bCs/>
          <w:b/>
        </w:rPr>
        <w:t xml:space="preserve">Location:</w:t>
      </w:r>
      <w:r>
        <w:t xml:space="preserve"> </w:t>
      </w:r>
      <w:r>
        <w:t xml:space="preserve">Houston, Texas, United States</w:t>
      </w:r>
    </w:p>
    <w:bookmarkStart w:id="21" w:name="bill-from-professor"/>
    <w:p>
      <w:pPr>
        <w:pStyle w:val="Heading3"/>
      </w:pPr>
      <w:r>
        <w:t xml:space="preserve">Bill From (Professor)</w:t>
      </w:r>
    </w:p>
    <w:p>
      <w:pPr>
        <w:pStyle w:val="FirstParagraph"/>
      </w:pPr>
      <w:r>
        <w:rPr>
          <w:bCs/>
          <w:b/>
        </w:rPr>
        <w:t xml:space="preserve">Dr. Margaret L. Whitfield, Ph.D.</w:t>
      </w:r>
    </w:p>
    <w:p>
      <w:pPr>
        <w:pStyle w:val="BodyText"/>
      </w:pPr>
      <w:r>
        <w:t xml:space="preserve">Professor of Applied Economics &amp; Policy Research</w:t>
      </w:r>
    </w:p>
    <w:p>
      <w:pPr>
        <w:pStyle w:val="BodyText"/>
      </w:pPr>
      <w:r>
        <w:t xml:space="preserve">Whitfield Academic Consulting Group</w:t>
      </w:r>
    </w:p>
    <w:p>
      <w:pPr>
        <w:pStyle w:val="BodyText"/>
      </w:pPr>
      <w:r>
        <w:t xml:space="preserve">4821 Westheimer Road, Suite 310</w:t>
      </w:r>
    </w:p>
    <w:p>
      <w:pPr>
        <w:pStyle w:val="BodyText"/>
      </w:pPr>
      <w:r>
        <w:t xml:space="preserve">Houston, Texas 77056</w:t>
      </w:r>
    </w:p>
    <w:p>
      <w:pPr>
        <w:pStyle w:val="BodyText"/>
      </w:pPr>
      <w:r>
        <w:t xml:space="preserve">United States</w:t>
      </w:r>
    </w:p>
    <w:p>
      <w:pPr>
        <w:pStyle w:val="BodyText"/>
      </w:pPr>
      <w:r>
        <w:t xml:space="preserve">Tel: (713) 555-0147</w:t>
      </w:r>
    </w:p>
    <w:p>
      <w:pPr>
        <w:pStyle w:val="BodyText"/>
      </w:pPr>
      <w:r>
        <w:t xml:space="preserve">Email: m.whitfield@whitfieldconsulting.edu</w:t>
      </w:r>
    </w:p>
    <w:p>
      <w:pPr>
        <w:pStyle w:val="BodyText"/>
      </w:pPr>
      <w:r>
        <w:t xml:space="preserve">TIN: 84-2937165</w:t>
      </w:r>
    </w:p>
    <w:bookmarkEnd w:id="21"/>
    <w:bookmarkStart w:id="22" w:name="bill-to-client"/>
    <w:p>
      <w:pPr>
        <w:pStyle w:val="Heading3"/>
      </w:pPr>
      <w:r>
        <w:t xml:space="preserve">Bill To (Client)</w:t>
      </w:r>
    </w:p>
    <w:p>
      <w:pPr>
        <w:pStyle w:val="FirstParagraph"/>
      </w:pPr>
      <w:r>
        <w:rPr>
          <w:bCs/>
          <w:b/>
        </w:rPr>
        <w:t xml:space="preserve">Gulf Coast Energy Partners, LLC</w:t>
      </w:r>
    </w:p>
    <w:p>
      <w:pPr>
        <w:pStyle w:val="BodyText"/>
      </w:pPr>
      <w:r>
        <w:t xml:space="preserve">Attn: Mr. David R. Calloway, VP of Strategy</w:t>
      </w:r>
    </w:p>
    <w:p>
      <w:pPr>
        <w:pStyle w:val="BodyText"/>
      </w:pPr>
      <w:r>
        <w:t xml:space="preserve">1200 Smith Street, 28th Floor</w:t>
      </w:r>
    </w:p>
    <w:p>
      <w:pPr>
        <w:pStyle w:val="BodyText"/>
      </w:pPr>
      <w:r>
        <w:t xml:space="preserve">Houston, Texas 77002</w:t>
      </w:r>
    </w:p>
    <w:p>
      <w:pPr>
        <w:pStyle w:val="BodyText"/>
      </w:pPr>
      <w:r>
        <w:t xml:space="preserve">United States</w:t>
      </w:r>
    </w:p>
    <w:p>
      <w:pPr>
        <w:pStyle w:val="BodyText"/>
      </w:pPr>
      <w:r>
        <w:t xml:space="preserve">Tel: (713) 555-0892</w:t>
      </w:r>
    </w:p>
    <w:p>
      <w:pPr>
        <w:pStyle w:val="BodyText"/>
      </w:pPr>
      <w:r>
        <w:t xml:space="preserve">Email: d.calloway@gulfcoastenergy.com</w:t>
      </w:r>
    </w:p>
    <w:p>
      <w:pPr>
        <w:pStyle w:val="BodyText"/>
      </w:pPr>
      <w:r>
        <w:t xml:space="preserve">Client Account No.: GCE-2025-0034</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 by Professor</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Professor-led strategic economic analysis of Gulf Coast energy market trends, including quarterly forecasting models and policy impact assessments delivered to the executive board in Houston, Texas.</w:t>
            </w:r>
          </w:p>
        </w:tc>
        <w:tc>
          <w:tcPr/>
          <w:p>
            <w:pPr>
              <w:pStyle w:val="Compact"/>
              <w:jc w:val="left"/>
            </w:pPr>
            <w:r>
              <w:t xml:space="preserve">March 2025</w:t>
            </w:r>
          </w:p>
        </w:tc>
        <w:tc>
          <w:tcPr/>
          <w:p>
            <w:pPr>
              <w:pStyle w:val="Compact"/>
              <w:jc w:val="left"/>
            </w:pPr>
            <w:r>
              <w:t xml:space="preserve">48</w:t>
            </w:r>
          </w:p>
        </w:tc>
        <w:tc>
          <w:tcPr/>
          <w:p>
            <w:pPr>
              <w:pStyle w:val="Compact"/>
              <w:jc w:val="left"/>
            </w:pPr>
            <w:r>
              <w:t xml:space="preserve">$275.00</w:t>
            </w:r>
          </w:p>
        </w:tc>
        <w:tc>
          <w:tcPr/>
          <w:p>
            <w:pPr>
              <w:pStyle w:val="Compact"/>
              <w:jc w:val="left"/>
            </w:pPr>
            <w:r>
              <w:t xml:space="preserve">$13,200.00</w:t>
            </w:r>
          </w:p>
        </w:tc>
      </w:tr>
      <w:tr>
        <w:tc>
          <w:tcPr/>
          <w:p>
            <w:pPr>
              <w:pStyle w:val="Compact"/>
              <w:jc w:val="left"/>
            </w:pPr>
            <w:r>
              <w:t xml:space="preserve">2</w:t>
            </w:r>
          </w:p>
        </w:tc>
        <w:tc>
          <w:tcPr/>
          <w:p>
            <w:pPr>
              <w:pStyle w:val="Compact"/>
              <w:jc w:val="left"/>
            </w:pPr>
            <w:r>
              <w:t xml:space="preserve">Professor Whitfield conducted a two-day intensive workshop for senior management on regulatory compliance frameworks applicable to energy sector operations in the United States, with a focus on Texas state and federal regulations.</w:t>
            </w:r>
          </w:p>
        </w:tc>
        <w:tc>
          <w:tcPr/>
          <w:p>
            <w:pPr>
              <w:pStyle w:val="Compact"/>
              <w:jc w:val="left"/>
            </w:pPr>
            <w:r>
              <w:t xml:space="preserve">April 2025</w:t>
            </w:r>
          </w:p>
        </w:tc>
        <w:tc>
          <w:tcPr/>
          <w:p>
            <w:pPr>
              <w:pStyle w:val="Compact"/>
              <w:jc w:val="left"/>
            </w:pPr>
            <w:r>
              <w:t xml:space="preserve">16</w:t>
            </w:r>
          </w:p>
        </w:tc>
        <w:tc>
          <w:tcPr/>
          <w:p>
            <w:pPr>
              <w:pStyle w:val="Compact"/>
              <w:jc w:val="left"/>
            </w:pPr>
            <w:r>
              <w:t xml:space="preserve">$325.00</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Preparation and delivery of a comprehensive written report titled "Economic Resilience Strategies for Mid-Sized Energy Firms in Houston, United States," including data modeling, peer-reviewed literature synthesis, and actionable recommendations.</w:t>
            </w:r>
          </w:p>
        </w:tc>
        <w:tc>
          <w:tcPr/>
          <w:p>
            <w:pPr>
              <w:pStyle w:val="Compact"/>
              <w:jc w:val="left"/>
            </w:pPr>
            <w:r>
              <w:t xml:space="preserve">April 2025</w:t>
            </w:r>
          </w:p>
        </w:tc>
        <w:tc>
          <w:tcPr/>
          <w:p>
            <w:pPr>
              <w:pStyle w:val="Compact"/>
              <w:jc w:val="left"/>
            </w:pPr>
            <w:r>
              <w:t xml:space="preserve">32</w:t>
            </w:r>
          </w:p>
        </w:tc>
        <w:tc>
          <w:tcPr/>
          <w:p>
            <w:pPr>
              <w:pStyle w:val="Compact"/>
              <w:jc w:val="left"/>
            </w:pPr>
            <w:r>
              <w:t xml:space="preserve">$275.00</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Professor advisory sessions (weekly, 2-hour consultations) providing ongoing guidance on capital allocation, workforce planning, and long-term growth strategy for the client's Houston-based operations division.</w:t>
            </w:r>
          </w:p>
        </w:tc>
        <w:tc>
          <w:tcPr/>
          <w:p>
            <w:pPr>
              <w:pStyle w:val="Compact"/>
              <w:jc w:val="left"/>
            </w:pPr>
            <w:r>
              <w:t xml:space="preserve">March–May 2025</w:t>
            </w:r>
          </w:p>
        </w:tc>
        <w:tc>
          <w:tcPr/>
          <w:p>
            <w:pPr>
              <w:pStyle w:val="Compact"/>
              <w:jc w:val="left"/>
            </w:pPr>
            <w:r>
              <w:t xml:space="preserve">24</w:t>
            </w:r>
          </w:p>
        </w:tc>
        <w:tc>
          <w:tcPr/>
          <w:p>
            <w:pPr>
              <w:pStyle w:val="Compact"/>
              <w:jc w:val="left"/>
            </w:pPr>
            <w:r>
              <w:t xml:space="preserve">$275.00</w:t>
            </w:r>
          </w:p>
        </w:tc>
        <w:tc>
          <w:tcPr/>
          <w:p>
            <w:pPr>
              <w:pStyle w:val="Compact"/>
              <w:jc w:val="left"/>
            </w:pPr>
            <w:r>
              <w:t xml:space="preserve">$6,600.00</w:t>
            </w:r>
          </w:p>
        </w:tc>
      </w:tr>
      <w:tr>
        <w:tc>
          <w:tcPr/>
          <w:p>
            <w:pPr>
              <w:pStyle w:val="Compact"/>
              <w:jc w:val="left"/>
            </w:pPr>
            <w:r>
              <w:t xml:space="preserve">5</w:t>
            </w:r>
          </w:p>
        </w:tc>
        <w:tc>
          <w:tcPr/>
          <w:p>
            <w:pPr>
              <w:pStyle w:val="Compact"/>
              <w:jc w:val="left"/>
            </w:pPr>
            <w:r>
              <w:t xml:space="preserve">Professor-led presentation and Q&amp;A session at the client's annual shareholder meeting in Houston, United States, covering macroeconomic outlook, sector-specific risks, and recommended portfolio adjustments for fiscal year 2026.</w:t>
            </w:r>
          </w:p>
        </w:tc>
        <w:tc>
          <w:tcPr/>
          <w:p>
            <w:pPr>
              <w:pStyle w:val="Compact"/>
              <w:jc w:val="left"/>
            </w:pPr>
            <w:r>
              <w:t xml:space="preserve">May 2025</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Travel and accommodation expenses incurred by the Professor for on-site engagements at the client's Houston, Texas office, including airfare, ground transportation, and lodging for a total of four business days.</w:t>
            </w:r>
          </w:p>
        </w:tc>
        <w:tc>
          <w:tcPr/>
          <w:p>
            <w:pPr>
              <w:pStyle w:val="Compact"/>
              <w:jc w:val="left"/>
            </w:pPr>
            <w:r>
              <w:t xml:space="preserve">March–May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$1,847.50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$37,747.50</w:t>
            </w:r>
          </w:p>
        </w:tc>
      </w:tr>
      <w:tr>
        <w:tc>
          <w:tcPr/>
          <w:p>
            <w:pPr>
              <w:pStyle w:val="Compact"/>
              <w:jc w:val="left"/>
            </w:pPr>
            <w:r>
              <w:t xml:space="preserve">Texas State Sales Tax (8.25%)</w:t>
            </w:r>
          </w:p>
        </w:tc>
        <w:tc>
          <w:tcPr/>
          <w:p>
            <w:pPr>
              <w:pStyle w:val="Compact"/>
              <w:jc w:val="left"/>
            </w:pPr>
            <w:r>
              <w:t xml:space="preserve">$3,114.17</w:t>
            </w:r>
          </w:p>
        </w:tc>
      </w:tr>
      <w:tr>
        <w:tc>
          <w:tcPr/>
          <w:p>
            <w:pPr>
              <w:pStyle w:val="Compact"/>
              <w:jc w:val="left"/>
            </w:pPr>
            <w:r>
              <w:t xml:space="preserve">Houston Municipal Tax (0.30%)</w:t>
            </w:r>
          </w:p>
        </w:tc>
        <w:tc>
          <w:tcPr/>
          <w:p>
            <w:pPr>
              <w:pStyle w:val="Compact"/>
              <w:jc w:val="left"/>
            </w:pPr>
            <w:r>
              <w:t xml:space="preserve">$113.24</w:t>
            </w:r>
          </w:p>
        </w:tc>
      </w:tr>
      <w:tr>
        <w:tc>
          <w:tcPr/>
          <w:p>
            <w:pPr>
              <w:pStyle w:val="Compact"/>
              <w:jc w:val="left"/>
            </w:pPr>
            <w:r>
              <w:t xml:space="preserve">Discount (Early Payment – 2%)</w:t>
            </w:r>
          </w:p>
        </w:tc>
        <w:tc>
          <w:tcPr/>
          <w:p>
            <w:pPr>
              <w:pStyle w:val="Compact"/>
              <w:jc w:val="left"/>
            </w:pPr>
            <w:r>
              <w:t xml:space="preserve">($754.95)</w:t>
            </w:r>
          </w:p>
        </w:tc>
      </w:tr>
      <w:tr>
        <w:tc>
          <w:tcPr/>
          <w:p>
            <w:pPr>
              <w:pStyle w:val="Compact"/>
              <w:jc w:val="left"/>
            </w:pPr>
            <w:r>
              <w:t xml:space="preserve">Grand Total Due</w:t>
            </w:r>
          </w:p>
        </w:tc>
        <w:tc>
          <w:tcPr/>
          <w:p>
            <w:pPr>
              <w:pStyle w:val="Compact"/>
              <w:jc w:val="left"/>
            </w:pPr>
            <w:r>
              <w:t xml:space="preserve">$40,220.00</w:t>
            </w:r>
          </w:p>
        </w:tc>
      </w:tr>
    </w:tbl>
    <w:bookmarkStart w:id="23" w:name="invoice-notes"/>
    <w:p>
      <w:pPr>
        <w:pStyle w:val="Heading3"/>
      </w:pPr>
      <w:r>
        <w:t xml:space="preserve">Invoice Notes</w:t>
      </w:r>
    </w:p>
    <w:p>
      <w:pPr>
        <w:pStyle w:val="FirstParagraph"/>
      </w:pPr>
      <w:r>
        <w:t xml:space="preserve">This Invoice is issued by Professor Dr. Margaret L. Whitfield in her capacity as an independent academic consultant operating from Houston, Texas, United States. All services described herein were performed under the Master Services Agreement dated January 15, 2025, between Whitfield Academic Consulting Group and Gulf Coast Energy Partners, LLC.</w:t>
      </w:r>
    </w:p>
    <w:p>
      <w:pPr>
        <w:pStyle w:val="BodyText"/>
      </w:pPr>
      <w:r>
        <w:t xml:space="preserve">The Professor warrants that all analytical work, reports, and presentations referenced in this Invoice were prepared with professional diligence, in accordance with the academic and industry standards recognized in the United States. All intellectual property rights to the final deliverables transfer to the client upon full payment of this Invoice.</w:t>
      </w:r>
    </w:p>
    <w:p>
      <w:pPr>
        <w:pStyle w:val="BodyText"/>
      </w:pPr>
      <w:r>
        <w:t xml:space="preserve">Tax calculations reflect the applicable combined sales and use tax rate for the City of Houston, Harris County, and the State of Texas as of the Invoice date. The client is responsible for any additional local surcharges that may apply to specific service categories.</w:t>
      </w:r>
    </w:p>
    <w:bookmarkEnd w:id="23"/>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Net 30 days from the Invoice date (July 12, 2025). Late payments will accrue interest at a rate of 1.5% per month as stipulated in the Master Services Agreement.</w:t>
      </w:r>
    </w:p>
    <w:p>
      <w:pPr>
        <w:pStyle w:val="BodyText"/>
      </w:pPr>
      <w:r>
        <w:rPr>
          <w:bCs/>
          <w:b/>
        </w:rPr>
        <w:t xml:space="preserve">Accepted Payment Methods:</w:t>
      </w:r>
      <w:r>
        <w:t xml:space="preserve"> </w:t>
      </w:r>
      <w:r>
        <w:t xml:space="preserve">Wire transfer (ACH), certified check, or corporate check made payable to "Whitfield Academic Consulting Group."</w:t>
      </w:r>
    </w:p>
    <w:p>
      <w:pPr>
        <w:pStyle w:val="BodyText"/>
      </w:pPr>
      <w:r>
        <w:rPr>
          <w:bCs/>
          <w:b/>
        </w:rPr>
        <w:t xml:space="preserve">Bank Details for Wire Transfer:</w:t>
      </w:r>
      <w:r>
        <w:t xml:space="preserve"> </w:t>
      </w:r>
      <w:r>
        <w:t xml:space="preserve">First National Bank of Houston, United States | Account Name: Whitfield Academic Consulting Group | Routing Number: 071000013 | Account Number: 4482-9173-0056 | SWIFT: FNBHUSHH</w:t>
      </w:r>
    </w:p>
    <w:p>
      <w:pPr>
        <w:pStyle w:val="BodyText"/>
      </w:pPr>
      <w:r>
        <w:rPr>
          <w:bCs/>
          <w:b/>
        </w:rPr>
        <w:t xml:space="preserve">Remittance Address:</w:t>
      </w:r>
      <w:r>
        <w:t xml:space="preserve"> </w:t>
      </w:r>
      <w:r>
        <w:t xml:space="preserve">Please mail checks to: Whitfield Academic Consulting Group, 4821 Westheimer Road, Suite 310, Houston, TX 77056, United States.</w:t>
      </w:r>
    </w:p>
    <w:p>
      <w:pPr>
        <w:pStyle w:val="BodyText"/>
      </w:pPr>
      <w:r>
        <w:rPr>
          <w:bCs/>
          <w:b/>
        </w:rPr>
        <w:t xml:space="preserve">Disputes:</w:t>
      </w:r>
      <w:r>
        <w:t xml:space="preserve"> </w:t>
      </w:r>
      <w:r>
        <w:t xml:space="preserve">Any discrepancies regarding this Invoice must be reported in writing to the Professor's office within ten (10) business days of receipt. Unreported items will be considered accepted and due per the terms above.</w:t>
      </w:r>
    </w:p>
    <w:bookmarkEnd w:id="24"/>
    <w:p>
      <w:pPr>
        <w:pStyle w:val="BodyText"/>
      </w:pPr>
      <w:r>
        <w:rPr>
          <w:bCs/>
          <w:b/>
        </w:rPr>
        <w:t xml:space="preserve">Whitfield Academic Consulting Group</w:t>
      </w:r>
      <w:r>
        <w:t xml:space="preserve"> </w:t>
      </w:r>
      <w:r>
        <w:t xml:space="preserve">| Professor Dr. Margaret L. Whitfield, Ph.D.</w:t>
      </w:r>
    </w:p>
    <w:p>
      <w:pPr>
        <w:pStyle w:val="BodyText"/>
      </w:pPr>
      <w:r>
        <w:t xml:space="preserve">4821 Westheimer Road, Suite 310, Houston, Texas 77056, United States</w:t>
      </w:r>
    </w:p>
    <w:p>
      <w:pPr>
        <w:pStyle w:val="BodyText"/>
      </w:pPr>
      <w:r>
        <w:t xml:space="preserve">Tel: (713) 555-0147 | Email: m.whitfield@whitfieldconsulting.edu</w:t>
      </w:r>
    </w:p>
    <w:p>
      <w:pPr>
        <w:pStyle w:val="BodyText"/>
      </w:pPr>
      <w:r>
        <w:t xml:space="preserve">This Invoice was generated electronically and is valid without a physical signature. Thank you for your business.</w:t>
      </w:r>
    </w:p>
    <w:p>
      <w:pPr>
        <w:pStyle w:val="BodyText"/>
      </w:pPr>
      <w:r>
        <w:t xml:space="preserve">Invoice INV-2025-HOU-04782 | 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Consulting Services - Houston, United States</dc:title>
  <dc:creator/>
  <dc:language>en</dc:language>
  <cp:keywords/>
  <dcterms:created xsi:type="dcterms:W3CDTF">2026-10-10T04:11:49Z</dcterms:created>
  <dcterms:modified xsi:type="dcterms:W3CDTF">2026-10-10T04:11:49Z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