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Academic</w:t>
      </w:r>
      <w:r>
        <w:t xml:space="preserve"> </w:t>
      </w:r>
      <w:r>
        <w:t xml:space="preserve">Consulting</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invoice"/>
    <w:p>
      <w:pPr>
        <w:pStyle w:val="Heading1"/>
      </w:pPr>
      <w:r>
        <w:t xml:space="preserve">INVOICE</w:t>
      </w:r>
    </w:p>
    <w:p>
      <w:pPr>
        <w:pStyle w:val="FirstParagraph"/>
      </w:pPr>
      <w:r>
        <w:t xml:space="preserve">Professional Academic &amp; Consulting Services</w:t>
      </w:r>
    </w:p>
    <w:p>
      <w:pPr>
        <w:pStyle w:val="BodyText"/>
      </w:pPr>
      <w:r>
        <w:t xml:space="preserve">UNITED STATES SAN FRANCISCO</w:t>
      </w:r>
    </w:p>
    <w:bookmarkEnd w:id="20"/>
    <w:bookmarkStart w:id="21" w:name="bill-from"/>
    <w:p>
      <w:pPr>
        <w:pStyle w:val="Heading3"/>
      </w:pPr>
      <w:r>
        <w:t xml:space="preserve">Bill From</w:t>
      </w:r>
    </w:p>
    <w:p>
      <w:pPr>
        <w:pStyle w:val="FirstParagraph"/>
      </w:pPr>
      <w:r>
        <w:rPr>
          <w:bCs/>
          <w:b/>
        </w:rPr>
        <w:t xml:space="preserve">Professor Eleanor M. Whitfield, Ph.D.</w:t>
      </w:r>
    </w:p>
    <w:p>
      <w:pPr>
        <w:pStyle w:val="BodyText"/>
      </w:pPr>
      <w:r>
        <w:t xml:space="preserve">Whitfield Academic Consulting Group</w:t>
      </w:r>
    </w:p>
    <w:p>
      <w:pPr>
        <w:pStyle w:val="BodyText"/>
      </w:pPr>
      <w:r>
        <w:t xml:space="preserve">1450 Market Street, Suite 2800</w:t>
      </w:r>
    </w:p>
    <w:p>
      <w:pPr>
        <w:pStyle w:val="BodyText"/>
      </w:pPr>
      <w:r>
        <w:t xml:space="preserve">San Francisco, California 94102</w:t>
      </w:r>
    </w:p>
    <w:p>
      <w:pPr>
        <w:pStyle w:val="BodyText"/>
      </w:pPr>
      <w:r>
        <w:t xml:space="preserve">United States</w:t>
      </w:r>
    </w:p>
    <w:p>
      <w:pPr>
        <w:pStyle w:val="BodyText"/>
      </w:pPr>
      <w:r>
        <w:t xml:space="preserve">Tel: (415) 555-0187</w:t>
      </w:r>
    </w:p>
    <w:p>
      <w:pPr>
        <w:pStyle w:val="BodyText"/>
      </w:pPr>
      <w:r>
        <w:t xml:space="preserve">Email: e.whitfield@whitfieldconsulting.edu</w:t>
      </w:r>
    </w:p>
    <w:p>
      <w:pPr>
        <w:pStyle w:val="BodyText"/>
      </w:pPr>
      <w:r>
        <w:t xml:space="preserve">Tax ID (EIN): 94-2837461</w:t>
      </w:r>
    </w:p>
    <w:bookmarkEnd w:id="21"/>
    <w:bookmarkStart w:id="22" w:name="bill-to"/>
    <w:p>
      <w:pPr>
        <w:pStyle w:val="Heading3"/>
      </w:pPr>
      <w:r>
        <w:t xml:space="preserve">Bill To</w:t>
      </w:r>
    </w:p>
    <w:p>
      <w:pPr>
        <w:pStyle w:val="FirstParagraph"/>
      </w:pPr>
      <w:r>
        <w:rPr>
          <w:bCs/>
          <w:b/>
        </w:rPr>
        <w:t xml:space="preserve">Meridian Technology Solutions, Inc.</w:t>
      </w:r>
    </w:p>
    <w:p>
      <w:pPr>
        <w:pStyle w:val="BodyText"/>
      </w:pPr>
      <w:r>
        <w:t xml:space="preserve">Attn: Mr. David Chen, Chief Technology Officer</w:t>
      </w:r>
    </w:p>
    <w:p>
      <w:pPr>
        <w:pStyle w:val="BodyText"/>
      </w:pPr>
      <w:r>
        <w:t xml:space="preserve">2200 Mission Street, Floor 14</w:t>
      </w:r>
    </w:p>
    <w:p>
      <w:pPr>
        <w:pStyle w:val="BodyText"/>
      </w:pPr>
      <w:r>
        <w:t xml:space="preserve">San Francisco, California 94110</w:t>
      </w:r>
    </w:p>
    <w:p>
      <w:pPr>
        <w:pStyle w:val="BodyText"/>
      </w:pPr>
      <w:r>
        <w:t xml:space="preserve">United States</w:t>
      </w:r>
    </w:p>
    <w:p>
      <w:pPr>
        <w:pStyle w:val="BodyText"/>
      </w:pPr>
      <w:r>
        <w:t xml:space="preserve">Tel: (415) 555-0342</w:t>
      </w:r>
    </w:p>
    <w:p>
      <w:pPr>
        <w:pStyle w:val="BodyText"/>
      </w:pPr>
      <w:r>
        <w:t xml:space="preserve">Email: d.chen@meridiantech.com</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Invoice Number:</w:t>
            </w:r>
          </w:p>
        </w:tc>
        <w:tc>
          <w:tcPr/>
          <w:p>
            <w:pPr>
              <w:pStyle w:val="Compact"/>
              <w:jc w:val="left"/>
            </w:pPr>
            <w:r>
              <w:t xml:space="preserve">WAC-2025-0047</w:t>
            </w:r>
          </w:p>
        </w:tc>
        <w:tc>
          <w:tcPr/>
          <w:p>
            <w:pPr>
              <w:pStyle w:val="Compact"/>
              <w:jc w:val="left"/>
            </w:pPr>
            <w:r>
              <w:t xml:space="preserve">Invoice Date:</w:t>
            </w:r>
          </w:p>
        </w:tc>
        <w:tc>
          <w:tcPr/>
          <w:p>
            <w:pPr>
              <w:pStyle w:val="Compact"/>
              <w:jc w:val="left"/>
            </w:pPr>
            <w:r>
              <w:t xml:space="preserve">June 12, 2025</w:t>
            </w:r>
          </w:p>
        </w:tc>
      </w:tr>
      <w:tr>
        <w:tc>
          <w:tcPr/>
          <w:p>
            <w:pPr>
              <w:pStyle w:val="Compact"/>
              <w:jc w:val="left"/>
            </w:pPr>
            <w:r>
              <w:t xml:space="preserve">Due Date:</w:t>
            </w:r>
          </w:p>
        </w:tc>
        <w:tc>
          <w:tcPr/>
          <w:p>
            <w:pPr>
              <w:pStyle w:val="Compact"/>
              <w:jc w:val="left"/>
            </w:pPr>
            <w:r>
              <w:t xml:space="preserve">July 12, 2025 (Net 30)</w:t>
            </w:r>
          </w:p>
        </w:tc>
        <w:tc>
          <w:tcPr/>
          <w:p>
            <w:pPr>
              <w:pStyle w:val="Compact"/>
              <w:jc w:val="left"/>
            </w:pPr>
            <w:r>
              <w:t xml:space="preserve">Service Period:</w:t>
            </w:r>
          </w:p>
        </w:tc>
        <w:tc>
          <w:tcPr/>
          <w:p>
            <w:pPr>
              <w:pStyle w:val="Compact"/>
              <w:jc w:val="left"/>
            </w:pPr>
            <w:r>
              <w:t xml:space="preserve">March 1, 2025 – May 31, 2025</w:t>
            </w:r>
          </w:p>
        </w:tc>
      </w:tr>
      <w:tr>
        <w:tc>
          <w:tcPr/>
          <w:p>
            <w:pPr>
              <w:pStyle w:val="Compact"/>
              <w:jc w:val="left"/>
            </w:pPr>
            <w:r>
              <w:t xml:space="preserve">Payment Method:</w:t>
            </w:r>
          </w:p>
        </w:tc>
        <w:tc>
          <w:tcPr/>
          <w:p>
            <w:pPr>
              <w:pStyle w:val="Compact"/>
              <w:jc w:val="left"/>
            </w:pPr>
            <w:r>
              <w:t xml:space="preserve">Wire Transfer / ACH</w:t>
            </w:r>
          </w:p>
        </w:tc>
        <w:tc>
          <w:tcPr/>
          <w:p>
            <w:pPr>
              <w:pStyle w:val="Compact"/>
              <w:jc w:val="left"/>
            </w:pPr>
            <w:r>
              <w:t xml:space="preserve">Reference:</w:t>
            </w:r>
          </w:p>
        </w:tc>
        <w:tc>
          <w:tcPr/>
          <w:p>
            <w:pPr>
              <w:pStyle w:val="Compact"/>
              <w:jc w:val="left"/>
            </w:pPr>
            <w:r>
              <w:t xml:space="preserve">Contract #MTS-2025-019</w:t>
            </w:r>
          </w:p>
        </w:tc>
      </w:tr>
    </w:tbl>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w:t>
            </w:r>
          </w:p>
        </w:tc>
        <w:tc>
          <w:tcPr/>
          <w:p>
            <w:pPr>
              <w:pStyle w:val="Compact"/>
              <w:jc w:val="left"/>
            </w:pPr>
            <w:r>
              <w:t xml:space="preserve">Hours</w:t>
            </w:r>
          </w:p>
        </w:tc>
        <w:tc>
          <w:tcPr/>
          <w:p>
            <w:pPr>
              <w:pStyle w:val="Compact"/>
              <w:jc w:val="left"/>
            </w:pPr>
            <w:r>
              <w:t xml:space="preserve">Amount</w:t>
            </w:r>
          </w:p>
        </w:tc>
        <w:tc>
          <w:tcPr/>
          <w:p>
            <w:pPr>
              <w:pStyle w:val="Compact"/>
              <w:jc w:val="left"/>
            </w:pPr>
            <w:r>
              <w:t xml:space="preserve">Date</w:t>
            </w:r>
          </w:p>
        </w:tc>
      </w:tr>
      <w:tr>
        <w:tc>
          <w:tcPr/>
          <w:p>
            <w:pPr>
              <w:pStyle w:val="Compact"/>
              <w:jc w:val="left"/>
            </w:pPr>
            <w:r>
              <w:t xml:space="preserve">1</w:t>
            </w:r>
          </w:p>
        </w:tc>
        <w:tc>
          <w:tcPr/>
          <w:p>
            <w:pPr>
              <w:pStyle w:val="Compact"/>
              <w:jc w:val="left"/>
            </w:pPr>
            <w:r>
              <w:t xml:space="preserve">Professor-led strategic research advisory session on artificial intelligence integration for enterprise systems. Conducted at the client's San Francisco headquarters.</w:t>
            </w:r>
          </w:p>
        </w:tc>
        <w:tc>
          <w:tcPr/>
          <w:p>
            <w:pPr>
              <w:pStyle w:val="Compact"/>
              <w:jc w:val="left"/>
            </w:pPr>
            <w:r>
              <w:t xml:space="preserve">$350/hr</w:t>
            </w:r>
          </w:p>
        </w:tc>
        <w:tc>
          <w:tcPr/>
          <w:p>
            <w:pPr>
              <w:pStyle w:val="Compact"/>
              <w:jc w:val="left"/>
            </w:pPr>
            <w:r>
              <w:t xml:space="preserve">8</w:t>
            </w:r>
          </w:p>
        </w:tc>
        <w:tc>
          <w:tcPr/>
          <w:p>
            <w:pPr>
              <w:pStyle w:val="Compact"/>
              <w:jc w:val="left"/>
            </w:pPr>
            <w:r>
              <w:t xml:space="preserve">$2,800.00</w:t>
            </w:r>
          </w:p>
        </w:tc>
        <w:tc>
          <w:tcPr/>
          <w:p>
            <w:pPr>
              <w:pStyle w:val="Compact"/>
              <w:jc w:val="left"/>
            </w:pPr>
            <w:r>
              <w:t xml:space="preserve">Mar 5, 2025</w:t>
            </w:r>
          </w:p>
        </w:tc>
      </w:tr>
      <w:tr>
        <w:tc>
          <w:tcPr/>
          <w:p>
            <w:pPr>
              <w:pStyle w:val="Compact"/>
              <w:jc w:val="left"/>
            </w:pPr>
            <w:r>
              <w:t xml:space="preserve">2</w:t>
            </w:r>
          </w:p>
        </w:tc>
        <w:tc>
          <w:tcPr/>
          <w:p>
            <w:pPr>
              <w:pStyle w:val="Compact"/>
              <w:jc w:val="left"/>
            </w:pPr>
            <w:r>
              <w:t xml:space="preserve">Professor Whitfield prepared a comprehensive 45-page white paper on data governance frameworks, tailored to Meridian Technology Solutions' compliance requirements under California state regulations.</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$4,500.00</w:t>
            </w:r>
          </w:p>
        </w:tc>
        <w:tc>
          <w:tcPr/>
          <w:p>
            <w:pPr>
              <w:pStyle w:val="Compact"/>
              <w:jc w:val="left"/>
            </w:pPr>
            <w:r>
              <w:t xml:space="preserve">Mar 22, 2025</w:t>
            </w:r>
          </w:p>
        </w:tc>
      </w:tr>
      <w:tr>
        <w:tc>
          <w:tcPr/>
          <w:p>
            <w:pPr>
              <w:pStyle w:val="Compact"/>
              <w:jc w:val="left"/>
            </w:pPr>
            <w:r>
              <w:t xml:space="preserve">3</w:t>
            </w:r>
          </w:p>
        </w:tc>
        <w:tc>
          <w:tcPr/>
          <w:p>
            <w:pPr>
              <w:pStyle w:val="Compact"/>
              <w:jc w:val="left"/>
            </w:pPr>
            <w:r>
              <w:t xml:space="preserve">Two-day intensive workshop led by the Professor for Meridian's engineering leadership team on advanced machine learning methodologies. Venue: United States San Francisco Convention Center, Hall B.</w:t>
            </w:r>
          </w:p>
        </w:tc>
        <w:tc>
          <w:tcPr/>
          <w:p>
            <w:pPr>
              <w:pStyle w:val="Compact"/>
              <w:jc w:val="left"/>
            </w:pPr>
            <w:r>
              <w:t xml:space="preserve">$2,200/day</w:t>
            </w:r>
          </w:p>
        </w:tc>
        <w:tc>
          <w:tcPr/>
          <w:p>
            <w:pPr>
              <w:pStyle w:val="Compact"/>
              <w:jc w:val="left"/>
            </w:pPr>
            <w:r>
              <w:t xml:space="preserve">2</w:t>
            </w:r>
          </w:p>
        </w:tc>
        <w:tc>
          <w:tcPr/>
          <w:p>
            <w:pPr>
              <w:pStyle w:val="Compact"/>
              <w:jc w:val="left"/>
            </w:pPr>
            <w:r>
              <w:t xml:space="preserve">$4,400.00</w:t>
            </w:r>
          </w:p>
        </w:tc>
        <w:tc>
          <w:tcPr/>
          <w:p>
            <w:pPr>
              <w:pStyle w:val="Compact"/>
              <w:jc w:val="left"/>
            </w:pPr>
            <w:r>
              <w:t xml:space="preserve">Apr 10–11, 2025</w:t>
            </w:r>
          </w:p>
        </w:tc>
      </w:tr>
      <w:tr>
        <w:tc>
          <w:tcPr/>
          <w:p>
            <w:pPr>
              <w:pStyle w:val="Compact"/>
              <w:jc w:val="left"/>
            </w:pPr>
            <w:r>
              <w:t xml:space="preserve">4</w:t>
            </w:r>
          </w:p>
        </w:tc>
        <w:tc>
          <w:tcPr/>
          <w:p>
            <w:pPr>
              <w:pStyle w:val="Compact"/>
              <w:jc w:val="left"/>
            </w:pPr>
            <w:r>
              <w:t xml:space="preserve">Ongoing academic mentorship and peer review of three internal research publications. The Professor provided detailed editorial feedback, statistical validation, and guidance on publication strategy.</w:t>
            </w:r>
          </w:p>
        </w:tc>
        <w:tc>
          <w:tcPr/>
          <w:p>
            <w:pPr>
              <w:pStyle w:val="Compact"/>
              <w:jc w:val="left"/>
            </w:pPr>
            <w:r>
              <w:t xml:space="preserve">$275/hr</w:t>
            </w:r>
          </w:p>
        </w:tc>
        <w:tc>
          <w:tcPr/>
          <w:p>
            <w:pPr>
              <w:pStyle w:val="Compact"/>
              <w:jc w:val="left"/>
            </w:pPr>
            <w:r>
              <w:t xml:space="preserve">16</w:t>
            </w:r>
          </w:p>
        </w:tc>
        <w:tc>
          <w:tcPr/>
          <w:p>
            <w:pPr>
              <w:pStyle w:val="Compact"/>
              <w:jc w:val="left"/>
            </w:pPr>
            <w:r>
              <w:t xml:space="preserve">$4,400.00</w:t>
            </w:r>
          </w:p>
        </w:tc>
        <w:tc>
          <w:tcPr/>
          <w:p>
            <w:pPr>
              <w:pStyle w:val="Compact"/>
              <w:jc w:val="left"/>
            </w:pPr>
            <w:r>
              <w:t xml:space="preserve">Apr 15 – May 10, 2025</w:t>
            </w:r>
          </w:p>
        </w:tc>
      </w:tr>
      <w:tr>
        <w:tc>
          <w:tcPr/>
          <w:p>
            <w:pPr>
              <w:pStyle w:val="Compact"/>
              <w:jc w:val="left"/>
            </w:pPr>
            <w:r>
              <w:t xml:space="preserve">5</w:t>
            </w:r>
          </w:p>
        </w:tc>
        <w:tc>
          <w:tcPr/>
          <w:p>
            <w:pPr>
              <w:pStyle w:val="Compact"/>
              <w:jc w:val="left"/>
            </w:pPr>
            <w:r>
              <w:t xml:space="preserve">Professor Whitfield served as keynote speaker at Meridian's annual Innovation Summit held in United States San Francisco. Topic: "The Future of Computational Research in the Bay Area." Included 45-minute keynote, 30-minute Q&amp;A, and 15-minute networking reception.</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$3,750.00</w:t>
            </w:r>
          </w:p>
        </w:tc>
        <w:tc>
          <w:tcPr/>
          <w:p>
            <w:pPr>
              <w:pStyle w:val="Compact"/>
              <w:jc w:val="left"/>
            </w:pPr>
            <w:r>
              <w:t xml:space="preserve">May 18, 2025</w:t>
            </w:r>
          </w:p>
        </w:tc>
      </w:tr>
      <w:tr>
        <w:tc>
          <w:tcPr/>
          <w:p>
            <w:pPr>
              <w:pStyle w:val="Compact"/>
              <w:jc w:val="left"/>
            </w:pPr>
            <w:r>
              <w:t xml:space="preserve">6</w:t>
            </w:r>
          </w:p>
        </w:tc>
        <w:tc>
          <w:tcPr/>
          <w:p>
            <w:pPr>
              <w:pStyle w:val="Compact"/>
              <w:jc w:val="left"/>
            </w:pPr>
            <w:r>
              <w:t xml:space="preserve">Travel and accommodation expenses incurred by the Professor for on-site consultations in San Francisco, California. Includes round-trip airfare from Stanford, hotel lodging (3 nights at the Fairmont San Francisco), and local transportation.</w:t>
            </w:r>
          </w:p>
        </w:tc>
        <w:tc>
          <w:tcPr/>
          <w:p>
            <w:pPr>
              <w:pStyle w:val="Compact"/>
              <w:jc w:val="left"/>
            </w:pPr>
            <w:r>
              <w:t xml:space="preserve">Actual</w:t>
            </w:r>
          </w:p>
        </w:tc>
        <w:tc>
          <w:tcPr/>
          <w:p>
            <w:pPr>
              <w:pStyle w:val="Compact"/>
              <w:jc w:val="left"/>
            </w:pPr>
            <w:r>
              <w:t xml:space="preserve">—</w:t>
            </w:r>
          </w:p>
        </w:tc>
        <w:tc>
          <w:tcPr/>
          <w:p>
            <w:pPr>
              <w:pStyle w:val="Compact"/>
              <w:jc w:val="left"/>
            </w:pPr>
            <w:r>
              <w:t xml:space="preserve">$1,287.50</w:t>
            </w:r>
          </w:p>
        </w:tc>
        <w:tc>
          <w:tcPr/>
          <w:p>
            <w:pPr>
              <w:pStyle w:val="Compact"/>
              <w:jc w:val="left"/>
            </w:pPr>
            <w:r>
              <w:t xml:space="preserve">Various</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$21,137.50</w:t>
            </w:r>
          </w:p>
        </w:tc>
      </w:tr>
      <w:tr>
        <w:tc>
          <w:tcPr/>
          <w:p>
            <w:pPr>
              <w:pStyle w:val="Compact"/>
              <w:jc w:val="left"/>
            </w:pPr>
            <w:r>
              <w:t xml:space="preserve">California State Sales Tax (8.5%)</w:t>
            </w:r>
          </w:p>
        </w:tc>
        <w:tc>
          <w:tcPr/>
          <w:p>
            <w:pPr>
              <w:pStyle w:val="Compact"/>
              <w:jc w:val="left"/>
            </w:pPr>
            <w:r>
              <w:t xml:space="preserve">$1,796.69</w:t>
            </w:r>
          </w:p>
        </w:tc>
      </w:tr>
      <w:tr>
        <w:tc>
          <w:tcPr/>
          <w:p>
            <w:pPr>
              <w:pStyle w:val="Compact"/>
              <w:jc w:val="left"/>
            </w:pPr>
            <w:r>
              <w:t xml:space="preserve">San Francisco City Tax (0.3%)</w:t>
            </w:r>
          </w:p>
        </w:tc>
        <w:tc>
          <w:tcPr/>
          <w:p>
            <w:pPr>
              <w:pStyle w:val="Compact"/>
              <w:jc w:val="left"/>
            </w:pPr>
            <w:r>
              <w:t xml:space="preserve">$63.41</w:t>
            </w:r>
          </w:p>
        </w:tc>
      </w:tr>
      <w:tr>
        <w:tc>
          <w:tcPr/>
          <w:p>
            <w:pPr>
              <w:pStyle w:val="Compact"/>
              <w:jc w:val="left"/>
            </w:pPr>
            <w:r>
              <w:t xml:space="preserve">Discount (Early Payment – 2%)</w:t>
            </w:r>
          </w:p>
        </w:tc>
        <w:tc>
          <w:tcPr/>
          <w:p>
            <w:pPr>
              <w:pStyle w:val="Compact"/>
              <w:jc w:val="left"/>
            </w:pPr>
            <w:r>
              <w:t xml:space="preserve">($422.75)</w:t>
            </w:r>
          </w:p>
        </w:tc>
      </w:tr>
      <w:tr>
        <w:tc>
          <w:tcPr/>
          <w:p>
            <w:pPr>
              <w:pStyle w:val="Compact"/>
              <w:jc w:val="left"/>
            </w:pPr>
            <w:r>
              <w:t xml:space="preserve">TOTAL DUE</w:t>
            </w:r>
          </w:p>
        </w:tc>
        <w:tc>
          <w:tcPr/>
          <w:p>
            <w:pPr>
              <w:pStyle w:val="Compact"/>
              <w:jc w:val="left"/>
            </w:pPr>
            <w:r>
              <w:t xml:space="preserve">$22,574.85</w:t>
            </w:r>
          </w:p>
        </w:tc>
      </w:tr>
    </w:tbl>
    <w:bookmarkStart w:id="23" w:name="payment-terms-conditions"/>
    <w:p>
      <w:pPr>
        <w:pStyle w:val="Heading3"/>
      </w:pPr>
      <w:r>
        <w:t xml:space="preserve">Payment Terms &amp; Conditions</w:t>
      </w:r>
    </w:p>
    <w:p>
      <w:pPr>
        <w:pStyle w:val="FirstParagraph"/>
      </w:pPr>
      <w:r>
        <w:t xml:space="preserve">This Invoice is payable within thirty (30) calendar days from the Invoice date of June 12, 2025. Payment is due no later than July 12, 2025. Please reference Invoice Number WAC-2025-0047 on all remittances.</w:t>
      </w:r>
    </w:p>
    <w:p>
      <w:pPr>
        <w:pStyle w:val="BodyText"/>
      </w:pPr>
      <w:r>
        <w:t xml:space="preserve">Accepted payment methods include wire transfer to the account of Whitfield Academic Consulting Group, First Republic Bank, San Francisco, CA (Routing: 121000358, Account: 0047-2839-1), or ACH transfer. Checks may be made payable to "Professor Eleanor M. Whitfield" and mailed to the address listed above.</w:t>
      </w:r>
    </w:p>
    <w:p>
      <w:pPr>
        <w:pStyle w:val="BodyText"/>
      </w:pPr>
      <w:r>
        <w:t xml:space="preserve">A late payment fee of 1.5% per month will be applied to any balance remaining after the due date. This Invoice is governed by the laws of the State of California and the jurisdiction of the United States San Francisco Municipal Court. All disputes arising from this Invoice shall be resolved through binding arbitration in San Francisco, California.</w:t>
      </w:r>
    </w:p>
    <w:bookmarkEnd w:id="23"/>
    <w:bookmarkStart w:id="24" w:name="additional-notes"/>
    <w:p>
      <w:pPr>
        <w:pStyle w:val="Heading3"/>
      </w:pPr>
      <w:r>
        <w:t xml:space="preserve">Additional Notes</w:t>
      </w:r>
    </w:p>
    <w:p>
      <w:pPr>
        <w:pStyle w:val="FirstParagraph"/>
      </w:pPr>
      <w:r>
        <w:t xml:space="preserve">Dear Mr. Chen,</w:t>
      </w:r>
    </w:p>
    <w:p>
      <w:pPr>
        <w:pStyle w:val="BodyText"/>
      </w:pPr>
      <w:r>
        <w:t xml:space="preserve">Thank you for engaging the services of Professor Whitfield and the Whitfield Academic Consulting Group for the first quarter of 2025. It has been a privilege to collaborate with the Meridian Technology Solutions team on these important research and development initiatives. The Professor is confident that the strategic recommendations outlined in the white paper and the methodologies presented during the workshop will yield significant long-term value for your organization.</w:t>
      </w:r>
    </w:p>
    <w:p>
      <w:pPr>
        <w:pStyle w:val="BodyText"/>
      </w:pPr>
      <w:r>
        <w:t xml:space="preserve">Please note that all services rendered were performed in compliance with the professional standards of the American Association of University Professors and applicable California state regulations governing independent academic consultants operating in the United States San Francisco metropolitan area. All intellectual property rights to the white paper and workshop materials remain with Meridian Technology Solutions, Inc., as stipulated in Contract #MTS-2025-019.</w:t>
      </w:r>
    </w:p>
    <w:p>
      <w:pPr>
        <w:pStyle w:val="BodyText"/>
      </w:pPr>
      <w:r>
        <w:t xml:space="preserve">Should you have any questions regarding this Invoice or require itemized receipts for any line item, please do not hesitate to contact our office at (415) 555-0187 or via email. We appreciate your prompt attention to this matter and look forward to continuing our professional relationship in the coming quarters.</w:t>
      </w:r>
    </w:p>
    <w:p>
      <w:pPr>
        <w:pStyle w:val="BodyText"/>
      </w:pPr>
      <w:r>
        <w:t xml:space="preserve">Sincerely,</w:t>
      </w:r>
      <w:r>
        <w:br/>
      </w:r>
      <w:r>
        <w:rPr>
          <w:bCs/>
          <w:b/>
        </w:rPr>
        <w:t xml:space="preserve">Professor Eleanor M. Whitfield, Ph.D.</w:t>
      </w:r>
      <w:r>
        <w:br/>
      </w:r>
      <w:r>
        <w:t xml:space="preserve">Principal, Whitfield Academic Consulting Group</w:t>
      </w:r>
      <w:r>
        <w:br/>
      </w:r>
      <w:r>
        <w:t xml:space="preserve">San Francisco, California – United States</w:t>
      </w:r>
    </w:p>
    <w:bookmarkEnd w:id="24"/>
    <w:p>
      <w:pPr>
        <w:pStyle w:val="BodyText"/>
      </w:pPr>
      <w:r>
        <w:rPr>
          <w:bCs/>
          <w:b/>
        </w:rPr>
        <w:t xml:space="preserve">Whitfield Academic Consulting Group</w:t>
      </w:r>
      <w:r>
        <w:t xml:space="preserve"> </w:t>
      </w:r>
      <w:r>
        <w:t xml:space="preserve">| 1450 Market Street, Suite 2800, San Francisco, CA 94102, United States</w:t>
      </w:r>
    </w:p>
    <w:p>
      <w:pPr>
        <w:pStyle w:val="BodyText"/>
      </w:pPr>
      <w:r>
        <w:t xml:space="preserve">Tel: (415) 555-0187 | Email: e.whitfield@whitfieldconsulting.edu | EIN: 94-2837461</w:t>
      </w:r>
    </w:p>
    <w:p>
      <w:pPr>
        <w:pStyle w:val="BodyText"/>
      </w:pPr>
      <w:r>
        <w:t xml:space="preserve">This Invoice was generated electronically and is valid without a physical signature. Invoice WAC-2025-0047 | Page 1 of 1</w:t>
      </w:r>
    </w:p>
    <w:p>
      <w:pPr>
        <w:pStyle w:val="BodyText"/>
      </w:pPr>
      <w:r>
        <w:t xml:space="preserve">© 2025 Whitfield Academic Consulting Group. All rights reserved. Operating in United States San Francisco, California.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Academic Consulting Services - United States San Francisco</dc:title>
  <dc:creator/>
  <dc:language>en</dc:language>
  <cp:keywords/>
  <dcterms:created xsi:type="dcterms:W3CDTF">2026-10-10T03:16:24Z</dcterms:created>
  <dcterms:modified xsi:type="dcterms:W3CDTF">2026-10-10T03:16:24Z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