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Belgium</w:t>
      </w:r>
      <w:r>
        <w:t xml:space="preserve"> </w:t>
      </w:r>
      <w:r>
        <w:t xml:space="preserve">Brussels</w:t>
      </w:r>
    </w:p>
    <w:bookmarkStart w:id="20" w:name="brussels-project-solutions-bv"/>
    <w:p>
      <w:pPr>
        <w:pStyle w:val="Heading1"/>
      </w:pPr>
      <w:r>
        <w:t xml:space="preserve">Brussels Project Solutions BV</w:t>
      </w:r>
    </w:p>
    <w:p>
      <w:pPr>
        <w:pStyle w:val="FirstParagraph"/>
      </w:pPr>
      <w:r>
        <w:t xml:space="preserve">Rue de la Loi 142, 1040 Brussels, Belgium</w:t>
      </w:r>
    </w:p>
    <w:p>
      <w:pPr>
        <w:pStyle w:val="BodyText"/>
      </w:pPr>
      <w:r>
        <w:t xml:space="preserve">VAT No: BE 0765.432.109</w:t>
      </w:r>
    </w:p>
    <w:p>
      <w:pPr>
        <w:pStyle w:val="BodyText"/>
      </w:pPr>
      <w:r>
        <w:t xml:space="preserve">IBAN: BE68 5390 0754 7034</w:t>
      </w:r>
    </w:p>
    <w:p>
      <w:pPr>
        <w:pStyle w:val="BodyText"/>
      </w:pPr>
      <w:r>
        <w:t xml:space="preserve">BCE / RLE: Brussels 0765.432.109</w:t>
      </w:r>
    </w:p>
    <w:p>
      <w:pPr>
        <w:pStyle w:val="BodyText"/>
      </w:pPr>
      <w:r>
        <w:t xml:space="preserve">info@brusselsprojectsolutions.be</w:t>
      </w:r>
    </w:p>
    <w:bookmarkEnd w:id="20"/>
    <w:p>
      <w:pPr>
        <w:pStyle w:val="BodyText"/>
      </w:pPr>
      <w:r>
        <w:t xml:space="preserve">Official Invoice</w:t>
      </w:r>
    </w:p>
    <w:bookmarkStart w:id="21" w:name="invoice"/>
    <w:p>
      <w:pPr>
        <w:pStyle w:val="Heading2"/>
      </w:pPr>
      <w:r>
        <w:t xml:space="preserve">INVOICE</w:t>
      </w:r>
    </w:p>
    <w:p>
      <w:pPr>
        <w:pStyle w:val="FirstParagraph"/>
      </w:pPr>
      <w:r>
        <w:t xml:space="preserve">Invoice No: INV-2025-BRU-0047</w:t>
      </w:r>
    </w:p>
    <w:p>
      <w:pPr>
        <w:pStyle w:val="BodyText"/>
      </w:pPr>
      <w:r>
        <w:t xml:space="preserve">Issue Date: 15 June 2025</w:t>
      </w:r>
    </w:p>
    <w:p>
      <w:pPr>
        <w:pStyle w:val="BodyText"/>
      </w:pPr>
      <w:r>
        <w:t xml:space="preserve">Due Date: 15 July 2025</w:t>
      </w:r>
    </w:p>
    <w:bookmarkEnd w:id="21"/>
    <w:bookmarkStart w:id="22" w:name="billed-to-client"/>
    <w:p>
      <w:pPr>
        <w:pStyle w:val="Heading3"/>
      </w:pPr>
      <w:r>
        <w:t xml:space="preserve">Billed To (Client)</w:t>
      </w:r>
    </w:p>
    <w:p>
      <w:pPr>
        <w:pStyle w:val="FirstParagraph"/>
      </w:pPr>
      <w:r>
        <w:t xml:space="preserve">Company:</w:t>
      </w:r>
      <w:r>
        <w:t xml:space="preserve"> </w:t>
      </w:r>
      <w:r>
        <w:t xml:space="preserve">EuroTech Industries NV</w:t>
      </w:r>
    </w:p>
    <w:p>
      <w:pPr>
        <w:pStyle w:val="BodyText"/>
      </w:pPr>
      <w:r>
        <w:t xml:space="preserve">Address:</w:t>
      </w:r>
      <w:r>
        <w:t xml:space="preserve"> </w:t>
      </w:r>
      <w:r>
        <w:t xml:space="preserve">Avenue Louise 250, 1050 Brussels, Belgium</w:t>
      </w:r>
    </w:p>
    <w:p>
      <w:pPr>
        <w:pStyle w:val="BodyText"/>
      </w:pPr>
      <w:r>
        <w:t xml:space="preserve">VAT No:</w:t>
      </w:r>
      <w:r>
        <w:t xml:space="preserve"> </w:t>
      </w:r>
      <w:r>
        <w:t xml:space="preserve">BE 0812.567.890</w:t>
      </w:r>
    </w:p>
    <w:p>
      <w:pPr>
        <w:pStyle w:val="BodyText"/>
      </w:pPr>
      <w:r>
        <w:t xml:space="preserve">Contact:</w:t>
      </w:r>
      <w:r>
        <w:t xml:space="preserve"> </w:t>
      </w:r>
      <w:r>
        <w:t xml:space="preserve">Mr. Jan Peeters, Director of Operations</w:t>
      </w:r>
    </w:p>
    <w:p>
      <w:pPr>
        <w:pStyle w:val="BodyText"/>
      </w:pPr>
      <w:r>
        <w:t xml:space="preserve">Email:</w:t>
      </w:r>
      <w:r>
        <w:t xml:space="preserve"> </w:t>
      </w:r>
      <w:r>
        <w:t xml:space="preserve">j.peeters@eurotech.be</w:t>
      </w:r>
    </w:p>
    <w:bookmarkEnd w:id="22"/>
    <w:bookmarkStart w:id="23" w:name="project-details"/>
    <w:p>
      <w:pPr>
        <w:pStyle w:val="Heading3"/>
      </w:pPr>
      <w:r>
        <w:t xml:space="preserve">Project Details</w:t>
      </w:r>
    </w:p>
    <w:p>
      <w:pPr>
        <w:pStyle w:val="FirstParagraph"/>
      </w:pPr>
      <w:r>
        <w:t xml:space="preserve">Project:</w:t>
      </w:r>
      <w:r>
        <w:t xml:space="preserve"> </w:t>
      </w:r>
      <w:r>
        <w:t xml:space="preserve">Digital Transformation Initiative – Phase II</w:t>
      </w:r>
    </w:p>
    <w:p>
      <w:pPr>
        <w:pStyle w:val="BodyText"/>
      </w:pPr>
      <w:r>
        <w:t xml:space="preserve">Project Manager:</w:t>
      </w:r>
      <w:r>
        <w:t xml:space="preserve"> </w:t>
      </w:r>
      <w:r>
        <w:t xml:space="preserve">Ms. Sophie Vandenberghe, PMP</w:t>
      </w:r>
    </w:p>
    <w:p>
      <w:pPr>
        <w:pStyle w:val="BodyText"/>
      </w:pPr>
      <w:r>
        <w:t xml:space="preserve">Engagement Period:</w:t>
      </w:r>
      <w:r>
        <w:t xml:space="preserve"> </w:t>
      </w:r>
      <w:r>
        <w:t xml:space="preserve">01 May 2025 – 31 May 2025</w:t>
      </w:r>
    </w:p>
    <w:p>
      <w:pPr>
        <w:pStyle w:val="BodyText"/>
      </w:pPr>
      <w:r>
        <w:t xml:space="preserve">Location:</w:t>
      </w:r>
      <w:r>
        <w:t xml:space="preserve"> </w:t>
      </w:r>
      <w:r>
        <w:t xml:space="preserve">Brussels, Belgium (On-site &amp; Remote)</w:t>
      </w:r>
    </w:p>
    <w:p>
      <w:pPr>
        <w:pStyle w:val="BodyText"/>
      </w:pPr>
      <w:r>
        <w:t xml:space="preserve">Reference:</w:t>
      </w:r>
      <w:r>
        <w:t xml:space="preserve"> </w:t>
      </w:r>
      <w:r>
        <w:t xml:space="preserve">ETP-2025-DT-003</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Rate (EUR)</w:t>
            </w:r>
          </w:p>
        </w:tc>
        <w:tc>
          <w:tcPr/>
          <w:p>
            <w:pPr>
              <w:pStyle w:val="Compact"/>
              <w:jc w:val="left"/>
            </w:pPr>
            <w:r>
              <w:t xml:space="preserve">Hours</w:t>
            </w:r>
          </w:p>
        </w:tc>
        <w:tc>
          <w:tcPr/>
          <w:p>
            <w:pPr>
              <w:pStyle w:val="Compact"/>
              <w:jc w:val="left"/>
            </w:pPr>
            <w:r>
              <w:t xml:space="preserve">Amount (EUR)</w:t>
            </w:r>
          </w:p>
        </w:tc>
        <w:tc>
          <w:tcPr/>
          <w:p>
            <w:pPr>
              <w:pStyle w:val="Compact"/>
              <w:jc w:val="left"/>
            </w:pPr>
            <w:r>
              <w:t xml:space="preserve">VAT (21%)</w:t>
            </w:r>
          </w:p>
        </w:tc>
      </w:tr>
      <w:tr>
        <w:tc>
          <w:tcPr/>
          <w:p>
            <w:pPr>
              <w:pStyle w:val="Compact"/>
              <w:jc w:val="left"/>
            </w:pPr>
            <w:r>
              <w:t xml:space="preserve">1</w:t>
            </w:r>
          </w:p>
        </w:tc>
        <w:tc>
          <w:tcPr/>
          <w:p>
            <w:pPr>
              <w:pStyle w:val="Compact"/>
              <w:jc w:val="left"/>
            </w:pPr>
            <w:r>
              <w:t xml:space="preserve">Project Manager – Strategic Planning &amp; Roadmap Development for the Digital Transformation Initiative. Includes stakeholder alignment workshops conducted in Brussels headquarters and remote coordination sessions with cross-functional teams.</w:t>
            </w:r>
          </w:p>
        </w:tc>
        <w:tc>
          <w:tcPr/>
          <w:p>
            <w:pPr>
              <w:pStyle w:val="Compact"/>
              <w:jc w:val="left"/>
            </w:pPr>
            <w:r>
              <w:t xml:space="preserve">€120.00</w:t>
            </w:r>
          </w:p>
        </w:tc>
        <w:tc>
          <w:tcPr/>
          <w:p>
            <w:pPr>
              <w:pStyle w:val="Compact"/>
              <w:jc w:val="left"/>
            </w:pPr>
            <w:r>
              <w:t xml:space="preserve">40</w:t>
            </w:r>
          </w:p>
        </w:tc>
        <w:tc>
          <w:tcPr/>
          <w:p>
            <w:pPr>
              <w:pStyle w:val="Compact"/>
              <w:jc w:val="left"/>
            </w:pPr>
            <w:r>
              <w:t xml:space="preserve">€4,800.00</w:t>
            </w:r>
          </w:p>
        </w:tc>
        <w:tc>
          <w:tcPr/>
          <w:p>
            <w:pPr>
              <w:pStyle w:val="Compact"/>
              <w:jc w:val="left"/>
            </w:pPr>
            <w:r>
              <w:t xml:space="preserve">€1,008.00</w:t>
            </w:r>
          </w:p>
        </w:tc>
      </w:tr>
      <w:tr>
        <w:tc>
          <w:tcPr/>
          <w:p>
            <w:pPr>
              <w:pStyle w:val="Compact"/>
              <w:jc w:val="left"/>
            </w:pPr>
            <w:r>
              <w:t xml:space="preserve">2</w:t>
            </w:r>
          </w:p>
        </w:tc>
        <w:tc>
          <w:tcPr/>
          <w:p>
            <w:pPr>
              <w:pStyle w:val="Compact"/>
              <w:jc w:val="left"/>
            </w:pPr>
            <w:r>
              <w:t xml:space="preserve">Project Manager – Risk Assessment &amp; Mitigation Strategy. Comprehensive identification, analysis, and documentation of project risks specific to the Belgian regulatory environment and EU compliance requirements.</w:t>
            </w:r>
          </w:p>
        </w:tc>
        <w:tc>
          <w:tcPr/>
          <w:p>
            <w:pPr>
              <w:pStyle w:val="Compact"/>
              <w:jc w:val="left"/>
            </w:pPr>
            <w:r>
              <w:t xml:space="preserve">€120.00</w:t>
            </w:r>
          </w:p>
        </w:tc>
        <w:tc>
          <w:tcPr/>
          <w:p>
            <w:pPr>
              <w:pStyle w:val="Compact"/>
              <w:jc w:val="left"/>
            </w:pPr>
            <w:r>
              <w:t xml:space="preserve">24</w:t>
            </w:r>
          </w:p>
        </w:tc>
        <w:tc>
          <w:tcPr/>
          <w:p>
            <w:pPr>
              <w:pStyle w:val="Compact"/>
              <w:jc w:val="left"/>
            </w:pPr>
            <w:r>
              <w:t xml:space="preserve">€2,880.00</w:t>
            </w:r>
          </w:p>
        </w:tc>
        <w:tc>
          <w:tcPr/>
          <w:p>
            <w:pPr>
              <w:pStyle w:val="Compact"/>
              <w:jc w:val="left"/>
            </w:pPr>
            <w:r>
              <w:t xml:space="preserve">€604.80</w:t>
            </w:r>
          </w:p>
        </w:tc>
      </w:tr>
      <w:tr>
        <w:tc>
          <w:tcPr/>
          <w:p>
            <w:pPr>
              <w:pStyle w:val="Compact"/>
              <w:jc w:val="left"/>
            </w:pPr>
            <w:r>
              <w:t xml:space="preserve">3</w:t>
            </w:r>
          </w:p>
        </w:tc>
        <w:tc>
          <w:tcPr/>
          <w:p>
            <w:pPr>
              <w:pStyle w:val="Compact"/>
              <w:jc w:val="left"/>
            </w:pPr>
            <w:r>
              <w:t xml:space="preserve">Project Manager – Resource Allocation &amp; Budget Oversight. Monthly financial tracking, vendor coordination, and budget variance reporting for the Brussels-based project team of 18 personnel.</w:t>
            </w:r>
          </w:p>
        </w:tc>
        <w:tc>
          <w:tcPr/>
          <w:p>
            <w:pPr>
              <w:pStyle w:val="Compact"/>
              <w:jc w:val="left"/>
            </w:pPr>
            <w:r>
              <w:t xml:space="preserve">€120.00</w:t>
            </w:r>
          </w:p>
        </w:tc>
        <w:tc>
          <w:tcPr/>
          <w:p>
            <w:pPr>
              <w:pStyle w:val="Compact"/>
              <w:jc w:val="left"/>
            </w:pPr>
            <w:r>
              <w:t xml:space="preserve">32</w:t>
            </w:r>
          </w:p>
        </w:tc>
        <w:tc>
          <w:tcPr/>
          <w:p>
            <w:pPr>
              <w:pStyle w:val="Compact"/>
              <w:jc w:val="left"/>
            </w:pPr>
            <w:r>
              <w:t xml:space="preserve">€3,840.00</w:t>
            </w:r>
          </w:p>
        </w:tc>
        <w:tc>
          <w:tcPr/>
          <w:p>
            <w:pPr>
              <w:pStyle w:val="Compact"/>
              <w:jc w:val="left"/>
            </w:pPr>
            <w:r>
              <w:t xml:space="preserve">€806.40</w:t>
            </w:r>
          </w:p>
        </w:tc>
      </w:tr>
      <w:tr>
        <w:tc>
          <w:tcPr/>
          <w:p>
            <w:pPr>
              <w:pStyle w:val="Compact"/>
              <w:jc w:val="left"/>
            </w:pPr>
            <w:r>
              <w:t xml:space="preserve">4</w:t>
            </w:r>
          </w:p>
        </w:tc>
        <w:tc>
          <w:tcPr/>
          <w:p>
            <w:pPr>
              <w:pStyle w:val="Compact"/>
              <w:jc w:val="left"/>
            </w:pPr>
            <w:r>
              <w:t xml:space="preserve">Project Manager – Quality Assurance &amp; Deliverable Review. End-to-end quality control of Phase II deliverables, including UAT coordination, defect tracking, and sign-off documentation in accordance with Belgian project governance standards.</w:t>
            </w:r>
          </w:p>
        </w:tc>
        <w:tc>
          <w:tcPr/>
          <w:p>
            <w:pPr>
              <w:pStyle w:val="Compact"/>
              <w:jc w:val="left"/>
            </w:pPr>
            <w:r>
              <w:t xml:space="preserve">€120.00</w:t>
            </w:r>
          </w:p>
        </w:tc>
        <w:tc>
          <w:tcPr/>
          <w:p>
            <w:pPr>
              <w:pStyle w:val="Compact"/>
              <w:jc w:val="left"/>
            </w:pPr>
            <w:r>
              <w:t xml:space="preserve">20</w:t>
            </w:r>
          </w:p>
        </w:tc>
        <w:tc>
          <w:tcPr/>
          <w:p>
            <w:pPr>
              <w:pStyle w:val="Compact"/>
              <w:jc w:val="left"/>
            </w:pPr>
            <w:r>
              <w:t xml:space="preserve">€2,400.00</w:t>
            </w:r>
          </w:p>
        </w:tc>
        <w:tc>
          <w:tcPr/>
          <w:p>
            <w:pPr>
              <w:pStyle w:val="Compact"/>
              <w:jc w:val="left"/>
            </w:pPr>
            <w:r>
              <w:t xml:space="preserve">€504.00</w:t>
            </w:r>
          </w:p>
        </w:tc>
      </w:tr>
      <w:tr>
        <w:tc>
          <w:tcPr/>
          <w:p>
            <w:pPr>
              <w:pStyle w:val="Compact"/>
              <w:jc w:val="left"/>
            </w:pPr>
            <w:r>
              <w:t xml:space="preserve">5</w:t>
            </w:r>
          </w:p>
        </w:tc>
        <w:tc>
          <w:tcPr/>
          <w:p>
            <w:pPr>
              <w:pStyle w:val="Compact"/>
              <w:jc w:val="left"/>
            </w:pPr>
            <w:r>
              <w:t xml:space="preserve">Project Manager – Client Reporting &amp; Steering Committee Presentations. Preparation and delivery of bi-weekly progress reports, KPI dashboards, and formal presentations to the EuroTech Industries steering committee in Brussels.</w:t>
            </w:r>
          </w:p>
        </w:tc>
        <w:tc>
          <w:tcPr/>
          <w:p>
            <w:pPr>
              <w:pStyle w:val="Compact"/>
              <w:jc w:val="left"/>
            </w:pPr>
            <w:r>
              <w:t xml:space="preserve">€120.00</w:t>
            </w:r>
          </w:p>
        </w:tc>
        <w:tc>
          <w:tcPr/>
          <w:p>
            <w:pPr>
              <w:pStyle w:val="Compact"/>
              <w:jc w:val="left"/>
            </w:pPr>
            <w:r>
              <w:t xml:space="preserve">16</w:t>
            </w:r>
          </w:p>
        </w:tc>
        <w:tc>
          <w:tcPr/>
          <w:p>
            <w:pPr>
              <w:pStyle w:val="Compact"/>
              <w:jc w:val="left"/>
            </w:pPr>
            <w:r>
              <w:t xml:space="preserve">€1,920.00</w:t>
            </w:r>
          </w:p>
        </w:tc>
        <w:tc>
          <w:tcPr/>
          <w:p>
            <w:pPr>
              <w:pStyle w:val="Compact"/>
              <w:jc w:val="left"/>
            </w:pPr>
            <w:r>
              <w:t xml:space="preserve">€403.20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left"/>
            </w:pPr>
            <w:r>
              <w:t xml:space="preserve">€15,840.00</w:t>
            </w:r>
          </w:p>
        </w:tc>
      </w:tr>
      <w:tr>
        <w:tc>
          <w:tcPr/>
          <w:p>
            <w:pPr>
              <w:pStyle w:val="Compact"/>
              <w:jc w:val="left"/>
            </w:pPr>
            <w:r>
              <w:t xml:space="preserve">VAT @ 21% (Belgian Standard Rate)</w:t>
            </w:r>
          </w:p>
        </w:tc>
        <w:tc>
          <w:tcPr/>
          <w:p>
            <w:pPr>
              <w:pStyle w:val="Compact"/>
              <w:jc w:val="left"/>
            </w:pPr>
            <w:r>
              <w:t xml:space="preserve">€3,326.40</w:t>
            </w:r>
          </w:p>
        </w:tc>
      </w:tr>
      <w:tr>
        <w:tc>
          <w:tcPr/>
          <w:p>
            <w:pPr>
              <w:pStyle w:val="Compact"/>
              <w:jc w:val="left"/>
            </w:pPr>
            <w:r>
              <w:t xml:space="preserve">Total Amount Due (incl. VAT)</w:t>
            </w:r>
          </w:p>
        </w:tc>
        <w:tc>
          <w:tcPr/>
          <w:p>
            <w:pPr>
              <w:pStyle w:val="Compact"/>
              <w:jc w:val="left"/>
            </w:pPr>
            <w:r>
              <w:t xml:space="preserve">€19,166.40</w:t>
            </w:r>
          </w:p>
        </w:tc>
      </w:tr>
    </w:tbl>
    <w:bookmarkStart w:id="24" w:name="payment-terms-invoice-notes"/>
    <w:p>
      <w:pPr>
        <w:pStyle w:val="Heading3"/>
      </w:pPr>
      <w:r>
        <w:t xml:space="preserve">Payment Terms &amp; Invoice Notes</w:t>
      </w:r>
    </w:p>
    <w:p>
      <w:pPr>
        <w:pStyle w:val="FirstParagraph"/>
      </w:pPr>
      <w:r>
        <w:t xml:space="preserve">This Invoice is issued in accordance with the Belgian Code of Economic Law (Book XXII) and the applicable VAT regulations of the Kingdom of Belgium. The total amount of</w:t>
      </w:r>
      <w:r>
        <w:t xml:space="preserve"> </w:t>
      </w:r>
      <w:r>
        <w:rPr>
          <w:bCs/>
          <w:b/>
        </w:rPr>
        <w:t xml:space="preserve">€19,166.40</w:t>
      </w:r>
      <w:r>
        <w:t xml:space="preserve"> </w:t>
      </w:r>
      <w:r>
        <w:t xml:space="preserve">is due within thirty (30) calendar days from the date of issue, no later than</w:t>
      </w:r>
      <w:r>
        <w:t xml:space="preserve"> </w:t>
      </w:r>
      <w:r>
        <w:rPr>
          <w:bCs/>
          <w:b/>
        </w:rPr>
        <w:t xml:space="preserve">15 July 2025</w:t>
      </w:r>
      <w:r>
        <w:t xml:space="preserve">.</w:t>
      </w:r>
    </w:p>
    <w:p>
      <w:pPr>
        <w:pStyle w:val="BodyText"/>
      </w:pPr>
      <w:r>
        <w:t xml:space="preserve">Payment shall be made via bank transfer to the following account:</w:t>
      </w:r>
    </w:p>
    <w:p>
      <w:pPr>
        <w:numPr>
          <w:ilvl w:val="0"/>
          <w:numId w:val="1001"/>
        </w:numPr>
        <w:pStyle w:val="Compact"/>
      </w:pPr>
      <w:r>
        <w:rPr>
          <w:bCs/>
          <w:b/>
        </w:rPr>
        <w:t xml:space="preserve">IBAN:</w:t>
      </w:r>
      <w:r>
        <w:t xml:space="preserve"> </w:t>
      </w:r>
      <w:r>
        <w:t xml:space="preserve">BE68 5390 0754 7034</w:t>
      </w:r>
    </w:p>
    <w:p>
      <w:pPr>
        <w:numPr>
          <w:ilvl w:val="0"/>
          <w:numId w:val="1001"/>
        </w:numPr>
        <w:pStyle w:val="Compact"/>
      </w:pPr>
      <w:r>
        <w:rPr>
          <w:bCs/>
          <w:b/>
        </w:rPr>
        <w:t xml:space="preserve">BIC/SWIFT:</w:t>
      </w:r>
      <w:r>
        <w:t xml:space="preserve"> </w:t>
      </w:r>
      <w:r>
        <w:t xml:space="preserve">GEBABEBB</w:t>
      </w:r>
    </w:p>
    <w:p>
      <w:pPr>
        <w:numPr>
          <w:ilvl w:val="0"/>
          <w:numId w:val="1001"/>
        </w:numPr>
        <w:pStyle w:val="Compact"/>
      </w:pPr>
      <w:r>
        <w:rPr>
          <w:bCs/>
          <w:b/>
        </w:rPr>
        <w:t xml:space="preserve">Bank:</w:t>
      </w:r>
      <w:r>
        <w:t xml:space="preserve"> </w:t>
      </w:r>
      <w:r>
        <w:t xml:space="preserve">BNP Paribas Fortis, Brussels Branch</w:t>
      </w:r>
    </w:p>
    <w:p>
      <w:pPr>
        <w:numPr>
          <w:ilvl w:val="0"/>
          <w:numId w:val="1001"/>
        </w:numPr>
        <w:pStyle w:val="Compact"/>
      </w:pPr>
      <w:r>
        <w:rPr>
          <w:bCs/>
          <w:b/>
        </w:rPr>
        <w:t xml:space="preserve">Reference:</w:t>
      </w:r>
      <w:r>
        <w:t xml:space="preserve"> </w:t>
      </w:r>
      <w:r>
        <w:t xml:space="preserve">INV-2025-BRU-0047 / ETP-2025-DT-003</w:t>
      </w:r>
    </w:p>
    <w:p>
      <w:pPr>
        <w:pStyle w:val="FirstParagraph"/>
      </w:pPr>
      <w:r>
        <w:t xml:space="preserve">Please quote the Invoice number and project reference in all correspondence and payment instructions. In the event of late payment, statutory interest at the rate prescribed by the Belgian Law of 2 August 1992 on late payment in commercial transactions shall apply, in addition to a fixed compensation amount of €40.00 for recovery costs.</w:t>
      </w:r>
    </w:p>
    <w:p>
      <w:pPr>
        <w:pStyle w:val="BodyText"/>
      </w:pPr>
      <w:r>
        <w:t xml:space="preserve">The Project Manager services described in this Invoice were rendered under the Master Service Agreement dated 12 March 2025 between Brussels Project Solutions BV and EuroTech Industries NV. All work was performed in compliance with Belgian labour law, GDPR regulations, and the professional standards of the Project Management Institute (PMI).</w:t>
      </w:r>
    </w:p>
    <w:p>
      <w:pPr>
        <w:pStyle w:val="BodyText"/>
      </w:pPr>
      <w:r>
        <w:t xml:space="preserve">This Invoice constitutes the final and complete billing for the Project Manager engagement during the period of 01 May 2025 through 31 May 2025. No additional charges will be incurred for this phase unless a formal change order is executed in writing by both parties.</w:t>
      </w:r>
    </w:p>
    <w:bookmarkEnd w:id="24"/>
    <w:p>
      <w:pPr>
        <w:pStyle w:val="BodyText"/>
      </w:pPr>
      <w:r>
        <w:rPr>
          <w:bCs/>
          <w:b/>
        </w:rPr>
        <w:t xml:space="preserve">Brussels Project Solutions BV</w:t>
      </w:r>
      <w:r>
        <w:t xml:space="preserve"> </w:t>
      </w:r>
      <w:r>
        <w:t xml:space="preserve">– A Belgian limited liability company (Besloten Vennootschap) registered with the Crossroads Bank for Enterprises (KBO/CBE) under number 0765.432.109, with its principal place of business at Rue de la Loi 142, 1040 Brussels, Belgium.</w:t>
      </w:r>
    </w:p>
    <w:p>
      <w:pPr>
        <w:pStyle w:val="BodyText"/>
      </w:pPr>
      <w:r>
        <w:t xml:space="preserve">This Invoice is subject to Belgian jurisdiction and the exclusive competence of the courts of Brussels. In the event of any dispute arising from or in connection with this Invoice or the underlying Project Manager services, the parties agree to first attempt resolution through good-faith mediation in Brussels before initiating any formal legal proceedings.</w:t>
      </w:r>
    </w:p>
    <w:p>
      <w:pPr>
        <w:pStyle w:val="BodyText"/>
      </w:pPr>
      <w:r>
        <w:t xml:space="preserve">VAT is charged at the standard Belgian rate of 21% as per the Belgian VAT Code (Code de la TVA / Wet op de omzetbelasting). This Invoice is issued electronically in compliance with the Belgian e-invoicing regulations and the Peppol BIS Billing 3.0 standard.</w:t>
      </w:r>
    </w:p>
    <w:p>
      <w:pPr>
        <w:pStyle w:val="BodyText"/>
      </w:pPr>
      <w:r>
        <w:t xml:space="preserve">For any questions regarding this Invoice, please contact our billing department at billing@brusselsprojectsolutions.be or by telephone at +32 2 555 0142 during business hours (Monday to Friday, 08:30–17:30 CET).</w:t>
      </w:r>
    </w:p>
    <w:p>
      <w:pPr>
        <w:pStyle w:val="BodyText"/>
      </w:pPr>
      <w:r>
        <w:t xml:space="preserve">Authorized Signatory</w:t>
      </w:r>
      <w:r>
        <w:br/>
      </w:r>
      <w:r>
        <w:t xml:space="preserve">Brussels Project Solutions BV</w:t>
      </w:r>
    </w:p>
    <w:p>
      <w:pPr>
        <w:pStyle w:val="BodyText"/>
      </w:pPr>
      <w:r>
        <w:t xml:space="preserve">Project Manager</w:t>
      </w:r>
      <w:r>
        <w:br/>
      </w:r>
      <w:r>
        <w:t xml:space="preserve">Ms. Sophie Vandenberghe, PMP</w:t>
      </w:r>
    </w:p>
    <w:p>
      <w:pPr>
        <w:pStyle w:val="BodyText"/>
      </w:pPr>
      <w:r>
        <w:t xml:space="preserve">Client Acknowledgement</w:t>
      </w:r>
      <w:r>
        <w:br/>
      </w:r>
      <w:r>
        <w:t xml:space="preserve">EuroTech Industries NV</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Project Manager Services - Belgium Brussels</dc:title>
  <dc:creator/>
  <dc:language>en</dc:language>
  <cp:keywords/>
  <dcterms:created xsi:type="dcterms:W3CDTF">2026-10-10T03:41:45Z</dcterms:created>
  <dcterms:modified xsi:type="dcterms:W3CDTF">2026-10-10T03:41:45Z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