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medellín-project-solutions-s.a.s."/>
    <w:p>
      <w:pPr>
        <w:pStyle w:val="Heading1"/>
      </w:pPr>
      <w:r>
        <w:t xml:space="preserve">Medellín Project Solutions S.A.S.</w:t>
      </w:r>
    </w:p>
    <w:p>
      <w:pPr>
        <w:pStyle w:val="FirstParagraph"/>
      </w:pPr>
      <w:r>
        <w:t xml:space="preserve">NIT: 901.234.567-8 | DIAN Registration: 9012345678</w:t>
      </w:r>
    </w:p>
    <w:p>
      <w:pPr>
        <w:pStyle w:val="BodyText"/>
      </w:pPr>
      <w:r>
        <w:t xml:space="preserve">Calle 43 # 48E-12, Of. 501, El Poblado</w:t>
      </w:r>
    </w:p>
    <w:p>
      <w:pPr>
        <w:pStyle w:val="BodyText"/>
      </w:pPr>
      <w:r>
        <w:t xml:space="preserve">Medellín, Antioquia, Colombia</w:t>
      </w:r>
    </w:p>
    <w:p>
      <w:pPr>
        <w:pStyle w:val="BodyText"/>
      </w:pPr>
      <w:r>
        <w:t xml:space="preserve">Tel: +57 (604) 444 5566 | Email: billing@medellinprojectsolutions.co</w:t>
      </w:r>
    </w:p>
    <w:bookmarkEnd w:id="20"/>
    <w:bookmarkStart w:id="21" w:name="invoice"/>
    <w:p>
      <w:pPr>
        <w:pStyle w:val="Heading2"/>
      </w:pPr>
      <w:r>
        <w:t xml:space="preserve">INVOICE</w:t>
      </w:r>
    </w:p>
    <w:p>
      <w:pPr>
        <w:pStyle w:val="FirstParagraph"/>
      </w:pPr>
      <w:r>
        <w:t xml:space="preserve">Factura de Venta</w:t>
      </w:r>
    </w:p>
    <w:p>
      <w:pPr>
        <w:pStyle w:val="BodyText"/>
      </w:pPr>
      <w:r>
        <w:t xml:space="preserve">Project Manager Services</w:t>
      </w:r>
    </w:p>
    <w:bookmarkEnd w:id="21"/>
    <w:bookmarkStart w:id="22" w:name="invoice-details"/>
    <w:p>
      <w:pPr>
        <w:pStyle w:val="Heading3"/>
      </w:pPr>
      <w:r>
        <w:t xml:space="preserve">Invoice Details</w:t>
      </w:r>
    </w:p>
    <w:p>
      <w:pPr>
        <w:pStyle w:val="FirstParagraph"/>
      </w:pPr>
      <w:r>
        <w:rPr>
          <w:bCs/>
          <w:b/>
        </w:rPr>
        <w:t xml:space="preserve">Invoice Number:</w:t>
      </w:r>
      <w:r>
        <w:t xml:space="preserve"> </w:t>
      </w:r>
      <w:r>
        <w:t xml:space="preserve">INV-2025-00487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Project Reference:</w:t>
      </w:r>
      <w:r>
        <w:t xml:space="preserve"> </w:t>
      </w:r>
      <w:r>
        <w:t xml:space="preserve">PM-MDE-2025-Q2</w:t>
      </w:r>
    </w:p>
    <w:bookmarkEnd w:id="22"/>
    <w:bookmarkStart w:id="23" w:name="billed-to-client"/>
    <w:p>
      <w:pPr>
        <w:pStyle w:val="Heading3"/>
      </w:pPr>
      <w:r>
        <w:t xml:space="preserve">Billed To (Client)</w:t>
      </w:r>
    </w:p>
    <w:p>
      <w:pPr>
        <w:pStyle w:val="FirstParagraph"/>
      </w:pPr>
      <w:r>
        <w:rPr>
          <w:bCs/>
          <w:b/>
        </w:rPr>
        <w:t xml:space="preserve">Company:</w:t>
      </w:r>
      <w:r>
        <w:t xml:space="preserve"> </w:t>
      </w:r>
      <w:r>
        <w:t xml:space="preserve">Andes Technology Group S.A.S.</w:t>
      </w:r>
    </w:p>
    <w:p>
      <w:pPr>
        <w:pStyle w:val="BodyText"/>
      </w:pPr>
      <w:r>
        <w:rPr>
          <w:bCs/>
          <w:b/>
        </w:rPr>
        <w:t xml:space="preserve">NIT:</w:t>
      </w:r>
      <w:r>
        <w:t xml:space="preserve"> </w:t>
      </w:r>
      <w:r>
        <w:t xml:space="preserve">890.456.789-1</w:t>
      </w:r>
    </w:p>
    <w:p>
      <w:pPr>
        <w:pStyle w:val="BodyText"/>
      </w:pPr>
      <w:r>
        <w:rPr>
          <w:bCs/>
          <w:b/>
        </w:rPr>
        <w:t xml:space="preserve">Address:</w:t>
      </w:r>
      <w:r>
        <w:t xml:space="preserve"> </w:t>
      </w:r>
      <w:r>
        <w:t xml:space="preserve">Cra. 50 # 25-150, Poblado</w:t>
      </w:r>
    </w:p>
    <w:p>
      <w:pPr>
        <w:pStyle w:val="BodyText"/>
      </w:pPr>
      <w:r>
        <w:rPr>
          <w:bCs/>
          <w:b/>
        </w:rPr>
        <w:t xml:space="preserve">Medellín, Antioquia, Colombia</w:t>
      </w:r>
    </w:p>
    <w:p>
      <w:pPr>
        <w:pStyle w:val="BodyText"/>
      </w:pPr>
      <w:r>
        <w:rPr>
          <w:bCs/>
          <w:b/>
        </w:rPr>
        <w:t xml:space="preserve">Contact:</w:t>
      </w:r>
      <w:r>
        <w:t xml:space="preserve"> </w:t>
      </w:r>
      <w:r>
        <w:t xml:space="preserve">Laura Restrepo – Procurement Manager</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 – Project Manager</w:t>
            </w:r>
          </w:p>
        </w:tc>
        <w:tc>
          <w:tcPr/>
          <w:p>
            <w:pPr>
              <w:pStyle w:val="Compact"/>
              <w:jc w:val="left"/>
            </w:pPr>
            <w:r>
              <w:t xml:space="preserve">Quantity</w:t>
            </w:r>
          </w:p>
        </w:tc>
        <w:tc>
          <w:tcPr/>
          <w:p>
            <w:pPr>
              <w:pStyle w:val="Compact"/>
              <w:jc w:val="left"/>
            </w:pPr>
            <w:r>
              <w:t xml:space="preserve">Unit Rate (COP)</w:t>
            </w:r>
          </w:p>
        </w:tc>
        <w:tc>
          <w:tcPr/>
          <w:p>
            <w:pPr>
              <w:pStyle w:val="Compact"/>
              <w:jc w:val="left"/>
            </w:pPr>
            <w:r>
              <w:t xml:space="preserve">Subtotal (COP)</w:t>
            </w:r>
          </w:p>
        </w:tc>
        <w:tc>
          <w:tcPr/>
          <w:p>
            <w:pPr>
              <w:pStyle w:val="Compact"/>
              <w:jc w:val="left"/>
            </w:pPr>
            <w:r>
              <w:t xml:space="preserve">IVA 19%</w:t>
            </w:r>
          </w:p>
        </w:tc>
      </w:tr>
      <w:tr>
        <w:tc>
          <w:tcPr/>
          <w:p>
            <w:pPr>
              <w:pStyle w:val="Compact"/>
              <w:jc w:val="left"/>
            </w:pPr>
            <w:r>
              <w:t xml:space="preserve">1</w:t>
            </w:r>
          </w:p>
        </w:tc>
        <w:tc>
          <w:tcPr/>
          <w:p>
            <w:pPr>
              <w:pStyle w:val="Compact"/>
              <w:jc w:val="left"/>
            </w:pPr>
            <w:r>
              <w:rPr>
                <w:bCs/>
                <w:b/>
              </w:rPr>
              <w:t xml:space="preserve">Senior Project Manager – Strategic Planning &amp; Governance</w:t>
            </w:r>
            <w:r>
              <w:br/>
            </w:r>
            <w:r>
              <w:t xml:space="preserve">Comprehensive project management oversight for the Andes Digital Transformation Initiative. Includes development of project charter, stakeholder engagement strategy, risk management framework, and governance structure. Delivered in Medellín, Antioquia, Colombia.</w:t>
            </w:r>
          </w:p>
        </w:tc>
        <w:tc>
          <w:tcPr/>
          <w:p>
            <w:pPr>
              <w:pStyle w:val="Compact"/>
              <w:jc w:val="left"/>
            </w:pPr>
            <w:r>
              <w:t xml:space="preserve">120 hrs</w:t>
            </w:r>
          </w:p>
        </w:tc>
        <w:tc>
          <w:tcPr/>
          <w:p>
            <w:pPr>
              <w:pStyle w:val="Compact"/>
              <w:jc w:val="left"/>
            </w:pPr>
            <w:r>
              <w:t xml:space="preserve">285.000</w:t>
            </w:r>
          </w:p>
        </w:tc>
        <w:tc>
          <w:tcPr/>
          <w:p>
            <w:pPr>
              <w:pStyle w:val="Compact"/>
              <w:jc w:val="left"/>
            </w:pPr>
            <w:r>
              <w:t xml:space="preserve">34.200.000</w:t>
            </w:r>
          </w:p>
        </w:tc>
        <w:tc>
          <w:tcPr/>
          <w:p>
            <w:pPr>
              <w:pStyle w:val="Compact"/>
              <w:jc w:val="left"/>
            </w:pPr>
            <w:r>
              <w:t xml:space="preserve">6.498.000</w:t>
            </w:r>
          </w:p>
        </w:tc>
      </w:tr>
      <w:tr>
        <w:tc>
          <w:tcPr/>
          <w:p>
            <w:pPr>
              <w:pStyle w:val="Compact"/>
              <w:jc w:val="left"/>
            </w:pPr>
            <w:r>
              <w:t xml:space="preserve">2</w:t>
            </w:r>
          </w:p>
        </w:tc>
        <w:tc>
          <w:tcPr/>
          <w:p>
            <w:pPr>
              <w:pStyle w:val="Compact"/>
              <w:jc w:val="left"/>
            </w:pPr>
            <w:r>
              <w:rPr>
                <w:bCs/>
                <w:b/>
              </w:rPr>
              <w:t xml:space="preserve">Project Manager – Agile Delivery &amp; Sprint Coordination</w:t>
            </w:r>
            <w:r>
              <w:br/>
            </w:r>
            <w:r>
              <w:t xml:space="preserve">End-to-end agile project management including sprint planning, daily stand-up facilitation, retrospectives, and velocity tracking for cross-functional teams. On-site coordination at client premises in Medellín, Colombia.</w:t>
            </w:r>
          </w:p>
        </w:tc>
        <w:tc>
          <w:tcPr/>
          <w:p>
            <w:pPr>
              <w:pStyle w:val="Compact"/>
              <w:jc w:val="left"/>
            </w:pPr>
            <w:r>
              <w:t xml:space="preserve">160 hrs</w:t>
            </w:r>
          </w:p>
        </w:tc>
        <w:tc>
          <w:tcPr/>
          <w:p>
            <w:pPr>
              <w:pStyle w:val="Compact"/>
              <w:jc w:val="left"/>
            </w:pPr>
            <w:r>
              <w:t xml:space="preserve">265.000</w:t>
            </w:r>
          </w:p>
        </w:tc>
        <w:tc>
          <w:tcPr/>
          <w:p>
            <w:pPr>
              <w:pStyle w:val="Compact"/>
              <w:jc w:val="left"/>
            </w:pPr>
            <w:r>
              <w:t xml:space="preserve">42.400.000</w:t>
            </w:r>
          </w:p>
        </w:tc>
        <w:tc>
          <w:tcPr/>
          <w:p>
            <w:pPr>
              <w:pStyle w:val="Compact"/>
              <w:jc w:val="left"/>
            </w:pPr>
            <w:r>
              <w:t xml:space="preserve">8.056.000</w:t>
            </w:r>
          </w:p>
        </w:tc>
      </w:tr>
      <w:tr>
        <w:tc>
          <w:tcPr/>
          <w:p>
            <w:pPr>
              <w:pStyle w:val="Compact"/>
              <w:jc w:val="left"/>
            </w:pPr>
            <w:r>
              <w:t xml:space="preserve">3</w:t>
            </w:r>
          </w:p>
        </w:tc>
        <w:tc>
          <w:tcPr/>
          <w:p>
            <w:pPr>
              <w:pStyle w:val="Compact"/>
              <w:jc w:val="left"/>
            </w:pPr>
            <w:r>
              <w:rPr>
                <w:bCs/>
                <w:b/>
              </w:rPr>
              <w:t xml:space="preserve">Project Manager – Budget Control &amp; Financial Reporting</w:t>
            </w:r>
            <w:r>
              <w:br/>
            </w:r>
            <w:r>
              <w:t xml:space="preserve">Detailed budget management, cost forecasting, variance analysis, and monthly financial reporting for the project portfolio. Includes preparation of DIAN-compliant financial documentation for Colombia Medellín operations.</w:t>
            </w:r>
          </w:p>
        </w:tc>
        <w:tc>
          <w:tcPr/>
          <w:p>
            <w:pPr>
              <w:pStyle w:val="Compact"/>
              <w:jc w:val="left"/>
            </w:pPr>
            <w:r>
              <w:t xml:space="preserve">80 hrs</w:t>
            </w:r>
          </w:p>
        </w:tc>
        <w:tc>
          <w:tcPr/>
          <w:p>
            <w:pPr>
              <w:pStyle w:val="Compact"/>
              <w:jc w:val="left"/>
            </w:pPr>
            <w:r>
              <w:t xml:space="preserve">310.000</w:t>
            </w:r>
          </w:p>
        </w:tc>
        <w:tc>
          <w:tcPr/>
          <w:p>
            <w:pPr>
              <w:pStyle w:val="Compact"/>
              <w:jc w:val="left"/>
            </w:pPr>
            <w:r>
              <w:t xml:space="preserve">24.800.000</w:t>
            </w:r>
          </w:p>
        </w:tc>
        <w:tc>
          <w:tcPr/>
          <w:p>
            <w:pPr>
              <w:pStyle w:val="Compact"/>
              <w:jc w:val="left"/>
            </w:pPr>
            <w:r>
              <w:t xml:space="preserve">4.712.000</w:t>
            </w:r>
          </w:p>
        </w:tc>
      </w:tr>
      <w:tr>
        <w:tc>
          <w:tcPr/>
          <w:p>
            <w:pPr>
              <w:pStyle w:val="Compact"/>
              <w:jc w:val="left"/>
            </w:pPr>
            <w:r>
              <w:t xml:space="preserve">4</w:t>
            </w:r>
          </w:p>
        </w:tc>
        <w:tc>
          <w:tcPr/>
          <w:p>
            <w:pPr>
              <w:pStyle w:val="Compact"/>
              <w:jc w:val="left"/>
            </w:pPr>
            <w:r>
              <w:rPr>
                <w:bCs/>
                <w:b/>
              </w:rPr>
              <w:t xml:space="preserve">Project Manager – Vendor &amp; Contract Management</w:t>
            </w:r>
            <w:r>
              <w:br/>
            </w:r>
            <w:r>
              <w:t xml:space="preserve">Oversight of third-party vendor contracts, performance monitoring, change order management, and dispute resolution. Ensures compliance with Colombian commercial law and Antioquia regional regulations.</w:t>
            </w:r>
          </w:p>
        </w:tc>
        <w:tc>
          <w:tcPr/>
          <w:p>
            <w:pPr>
              <w:pStyle w:val="Compact"/>
              <w:jc w:val="left"/>
            </w:pPr>
            <w:r>
              <w:t xml:space="preserve">60 hrs</w:t>
            </w:r>
          </w:p>
        </w:tc>
        <w:tc>
          <w:tcPr/>
          <w:p>
            <w:pPr>
              <w:pStyle w:val="Compact"/>
              <w:jc w:val="left"/>
            </w:pPr>
            <w:r>
              <w:t xml:space="preserve">295.000</w:t>
            </w:r>
          </w:p>
        </w:tc>
        <w:tc>
          <w:tcPr/>
          <w:p>
            <w:pPr>
              <w:pStyle w:val="Compact"/>
              <w:jc w:val="left"/>
            </w:pPr>
            <w:r>
              <w:t xml:space="preserve">17.700.000</w:t>
            </w:r>
          </w:p>
        </w:tc>
        <w:tc>
          <w:tcPr/>
          <w:p>
            <w:pPr>
              <w:pStyle w:val="Compact"/>
              <w:jc w:val="left"/>
            </w:pPr>
            <w:r>
              <w:t xml:space="preserve">3.363.000</w:t>
            </w:r>
          </w:p>
        </w:tc>
      </w:tr>
      <w:tr>
        <w:tc>
          <w:tcPr/>
          <w:p>
            <w:pPr>
              <w:pStyle w:val="Compact"/>
              <w:jc w:val="left"/>
            </w:pPr>
            <w:r>
              <w:t xml:space="preserve">5</w:t>
            </w:r>
          </w:p>
        </w:tc>
        <w:tc>
          <w:tcPr/>
          <w:p>
            <w:pPr>
              <w:pStyle w:val="Compact"/>
              <w:jc w:val="left"/>
            </w:pPr>
            <w:r>
              <w:rPr>
                <w:bCs/>
                <w:b/>
              </w:rPr>
              <w:t xml:space="preserve">Project Manager – Team Leadership &amp; Capacity Building</w:t>
            </w:r>
            <w:r>
              <w:br/>
            </w:r>
            <w:r>
              <w:t xml:space="preserve">Leadership development workshops, team performance assessments, and organizational capability building for the project delivery team based in Medellín, Colombia. Includes mentoring of junior project managers.</w:t>
            </w:r>
          </w:p>
        </w:tc>
        <w:tc>
          <w:tcPr/>
          <w:p>
            <w:pPr>
              <w:pStyle w:val="Compact"/>
              <w:jc w:val="left"/>
            </w:pPr>
            <w:r>
              <w:t xml:space="preserve">40 hrs</w:t>
            </w:r>
          </w:p>
        </w:tc>
        <w:tc>
          <w:tcPr/>
          <w:p>
            <w:pPr>
              <w:pStyle w:val="Compact"/>
              <w:jc w:val="left"/>
            </w:pPr>
            <w:r>
              <w:t xml:space="preserve">320.000</w:t>
            </w:r>
          </w:p>
        </w:tc>
        <w:tc>
          <w:tcPr/>
          <w:p>
            <w:pPr>
              <w:pStyle w:val="Compact"/>
              <w:jc w:val="left"/>
            </w:pPr>
            <w:r>
              <w:t xml:space="preserve">12.800.000</w:t>
            </w:r>
          </w:p>
        </w:tc>
        <w:tc>
          <w:tcPr/>
          <w:p>
            <w:pPr>
              <w:pStyle w:val="Compact"/>
              <w:jc w:val="left"/>
            </w:pPr>
            <w:r>
              <w:t xml:space="preserve">2.432.000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(COP)</w:t>
            </w:r>
          </w:p>
        </w:tc>
        <w:tc>
          <w:tcPr/>
          <w:p>
            <w:pPr>
              <w:pStyle w:val="Compact"/>
              <w:jc w:val="left"/>
            </w:pPr>
            <w:r>
              <w:rPr>
                <w:bCs/>
                <w:b/>
              </w:rPr>
              <w:t xml:space="preserve">131.900.000</w:t>
            </w:r>
          </w:p>
        </w:tc>
      </w:tr>
      <w:tr>
        <w:tc>
          <w:tcPr/>
          <w:p>
            <w:pPr>
              <w:pStyle w:val="Compact"/>
              <w:jc w:val="left"/>
            </w:pPr>
            <w:r>
              <w:rPr>
                <w:bCs/>
                <w:b/>
              </w:rPr>
              <w:t xml:space="preserve">IVA 19% (COP)</w:t>
            </w:r>
          </w:p>
        </w:tc>
        <w:tc>
          <w:tcPr/>
          <w:p>
            <w:pPr>
              <w:pStyle w:val="Compact"/>
              <w:jc w:val="left"/>
            </w:pPr>
            <w:r>
              <w:rPr>
                <w:bCs/>
                <w:b/>
              </w:rPr>
              <w:t xml:space="preserve">25.061.000</w:t>
            </w:r>
          </w:p>
        </w:tc>
      </w:tr>
      <w:tr>
        <w:tc>
          <w:tcPr/>
          <w:p>
            <w:pPr>
              <w:pStyle w:val="Compact"/>
              <w:jc w:val="left"/>
            </w:pPr>
            <w:r>
              <w:rPr>
                <w:bCs/>
                <w:b/>
              </w:rPr>
              <w:t xml:space="preserve">Discount (COP)</w:t>
            </w:r>
          </w:p>
        </w:tc>
        <w:tc>
          <w:tcPr/>
          <w:p>
            <w:pPr>
              <w:pStyle w:val="Compact"/>
              <w:jc w:val="left"/>
            </w:pPr>
            <w:r>
              <w:rPr>
                <w:bCs/>
                <w:b/>
              </w:rPr>
              <w:t xml:space="preserve">(5.000.000)</w:t>
            </w:r>
          </w:p>
        </w:tc>
      </w:tr>
      <w:tr>
        <w:tc>
          <w:tcPr/>
          <w:p>
            <w:pPr>
              <w:pStyle w:val="Compact"/>
              <w:jc w:val="left"/>
            </w:pPr>
            <w:r>
              <w:t xml:space="preserve">TOTAL DUE (COP)</w:t>
            </w:r>
          </w:p>
        </w:tc>
        <w:tc>
          <w:tcPr/>
          <w:p>
            <w:pPr>
              <w:pStyle w:val="Compact"/>
              <w:jc w:val="left"/>
            </w:pPr>
            <w:r>
              <w:t xml:space="preserve">151.961.000</w:t>
            </w:r>
          </w:p>
        </w:tc>
      </w:tr>
      <w:tr>
        <w:tc>
          <w:tcPr/>
          <w:p>
            <w:pPr>
              <w:pStyle w:val="Compact"/>
              <w:jc w:val="left"/>
            </w:pPr>
            <w:r>
              <w:rPr>
                <w:iCs/>
                <w:i/>
              </w:rPr>
              <w:t xml:space="preserve">Amount in Words</w:t>
            </w:r>
          </w:p>
        </w:tc>
        <w:tc>
          <w:tcPr/>
          <w:p>
            <w:pPr>
              <w:pStyle w:val="Compact"/>
              <w:jc w:val="left"/>
            </w:pPr>
            <w:r>
              <w:rPr>
                <w:iCs/>
                <w:i/>
              </w:rPr>
              <w:t xml:space="preserve">COP One Hundred Fifty-One Million Nine Hundred Sixty-One Thousand Pesos 00/100</w:t>
            </w:r>
          </w:p>
        </w:tc>
      </w:tr>
    </w:tbl>
    <w:bookmarkStart w:id="24" w:name="payment-instructions"/>
    <w:p>
      <w:pPr>
        <w:pStyle w:val="Heading4"/>
      </w:pPr>
      <w:r>
        <w:t xml:space="preserve">Payment Instructions</w:t>
      </w:r>
    </w:p>
    <w:p>
      <w:pPr>
        <w:pStyle w:val="FirstParagraph"/>
      </w:pPr>
      <w:r>
        <w:rPr>
          <w:bCs/>
          <w:b/>
        </w:rPr>
        <w:t xml:space="preserve">Bank:</w:t>
      </w:r>
      <w:r>
        <w:t xml:space="preserve"> </w:t>
      </w:r>
      <w:r>
        <w:t xml:space="preserve">Banco de Bogotá</w:t>
      </w:r>
    </w:p>
    <w:p>
      <w:pPr>
        <w:pStyle w:val="BodyText"/>
      </w:pPr>
      <w:r>
        <w:rPr>
          <w:bCs/>
          <w:b/>
        </w:rPr>
        <w:t xml:space="preserve">Account Type:</w:t>
      </w:r>
      <w:r>
        <w:t xml:space="preserve"> </w:t>
      </w:r>
      <w:r>
        <w:t xml:space="preserve">Cuenta de Ahorros</w:t>
      </w:r>
    </w:p>
    <w:p>
      <w:pPr>
        <w:pStyle w:val="BodyText"/>
      </w:pPr>
      <w:r>
        <w:rPr>
          <w:bCs/>
          <w:b/>
        </w:rPr>
        <w:t xml:space="preserve">Account Number:</w:t>
      </w:r>
      <w:r>
        <w:t xml:space="preserve"> </w:t>
      </w:r>
      <w:r>
        <w:t xml:space="preserve">016-987654-3</w:t>
      </w:r>
    </w:p>
    <w:p>
      <w:pPr>
        <w:pStyle w:val="BodyText"/>
      </w:pPr>
      <w:r>
        <w:rPr>
          <w:bCs/>
          <w:b/>
        </w:rPr>
        <w:t xml:space="preserve">IBAN:</w:t>
      </w:r>
      <w:r>
        <w:t xml:space="preserve"> </w:t>
      </w:r>
      <w:r>
        <w:t xml:space="preserve">CO01 BDBO 0169 8765 4300</w:t>
      </w:r>
    </w:p>
    <w:p>
      <w:pPr>
        <w:pStyle w:val="BodyText"/>
      </w:pPr>
      <w:r>
        <w:rPr>
          <w:bCs/>
          <w:b/>
        </w:rPr>
        <w:t xml:space="preserve">SWIFT:</w:t>
      </w:r>
      <w:r>
        <w:t xml:space="preserve"> </w:t>
      </w:r>
      <w:r>
        <w:t xml:space="preserve">BDBOCO88</w:t>
      </w:r>
    </w:p>
    <w:p>
      <w:pPr>
        <w:pStyle w:val="BodyText"/>
      </w:pPr>
      <w:r>
        <w:rPr>
          <w:bCs/>
          <w:b/>
        </w:rPr>
        <w:t xml:space="preserve">Reference:</w:t>
      </w:r>
      <w:r>
        <w:t xml:space="preserve"> </w:t>
      </w:r>
      <w:r>
        <w:t xml:space="preserve">INV-2025-00487</w:t>
      </w:r>
    </w:p>
    <w:bookmarkEnd w:id="24"/>
    <w:bookmarkStart w:id="25" w:name="tax-legal-information"/>
    <w:p>
      <w:pPr>
        <w:pStyle w:val="Heading4"/>
      </w:pPr>
      <w:r>
        <w:t xml:space="preserve">Tax &amp; Legal Information</w:t>
      </w:r>
    </w:p>
    <w:p>
      <w:pPr>
        <w:pStyle w:val="FirstParagraph"/>
      </w:pPr>
      <w:r>
        <w:rPr>
          <w:bCs/>
          <w:b/>
        </w:rPr>
        <w:t xml:space="preserve">Regimen:</w:t>
      </w:r>
      <w:r>
        <w:t xml:space="preserve"> </w:t>
      </w:r>
      <w:r>
        <w:t xml:space="preserve">Régimen Ordinario</w:t>
      </w:r>
    </w:p>
    <w:p>
      <w:pPr>
        <w:pStyle w:val="BodyText"/>
      </w:pPr>
      <w:r>
        <w:rPr>
          <w:bCs/>
          <w:b/>
        </w:rPr>
        <w:t xml:space="preserve">IVA Rate:</w:t>
      </w:r>
      <w:r>
        <w:t xml:space="preserve"> </w:t>
      </w:r>
      <w:r>
        <w:t xml:space="preserve">19% (Colombian VAT)</w:t>
      </w:r>
    </w:p>
    <w:p>
      <w:pPr>
        <w:pStyle w:val="BodyText"/>
      </w:pPr>
      <w:r>
        <w:rPr>
          <w:bCs/>
          <w:b/>
        </w:rPr>
        <w:t xml:space="preserve">Withholding (Renta):</w:t>
      </w:r>
      <w:r>
        <w:t xml:space="preserve"> </w:t>
      </w:r>
      <w:r>
        <w:t xml:space="preserve">4% applicable</w:t>
      </w:r>
    </w:p>
    <w:p>
      <w:pPr>
        <w:pStyle w:val="BodyText"/>
      </w:pPr>
      <w:r>
        <w:rPr>
          <w:bCs/>
          <w:b/>
        </w:rPr>
        <w:t xml:space="preserve">Withholding (IVA):</w:t>
      </w:r>
      <w:r>
        <w:t xml:space="preserve"> </w:t>
      </w:r>
      <w:r>
        <w:t xml:space="preserve">4% applicable</w:t>
      </w:r>
    </w:p>
    <w:p>
      <w:pPr>
        <w:pStyle w:val="BodyText"/>
      </w:pPr>
      <w:r>
        <w:rPr>
          <w:bCs/>
          <w:b/>
        </w:rPr>
        <w:t xml:space="preserve">DIAN Code:</w:t>
      </w:r>
      <w:r>
        <w:t xml:space="preserve"> </w:t>
      </w:r>
      <w:r>
        <w:t xml:space="preserve">9012345678</w:t>
      </w:r>
    </w:p>
    <w:bookmarkEnd w:id="25"/>
    <w:bookmarkStart w:id="26" w:name="Xf8c48e9b456e93623af261e355b3a518cf33e57"/>
    <w:p>
      <w:pPr>
        <w:pStyle w:val="Heading3"/>
      </w:pPr>
      <w:r>
        <w:t xml:space="preserve">Notes &amp; Terms – Project Manager Invoice, Colombia Medellín</w:t>
      </w:r>
    </w:p>
    <w:p>
      <w:pPr>
        <w:numPr>
          <w:ilvl w:val="0"/>
          <w:numId w:val="1001"/>
        </w:numPr>
        <w:pStyle w:val="Compact"/>
      </w:pPr>
      <w:r>
        <w:t xml:space="preserve">This invoice covers professional Project Manager services rendered by Medellín Project Solutions S.A.S. to Andes Technology Group S.A.S. for the period of March 1, 2025 through May 31, 2025, in Medellín, Antioquia, Colombia.</w:t>
      </w:r>
    </w:p>
    <w:p>
      <w:pPr>
        <w:numPr>
          <w:ilvl w:val="0"/>
          <w:numId w:val="1001"/>
        </w:numPr>
        <w:pStyle w:val="Compact"/>
      </w:pPr>
      <w:r>
        <w:t xml:space="preserve">All Project Manager services were performed in accordance with the Master Service Agreement (MSA) dated January 15, 2025, and the Statement of Work (SOW) PM-MDE-2025-Q2.</w:t>
      </w:r>
    </w:p>
    <w:p>
      <w:pPr>
        <w:numPr>
          <w:ilvl w:val="0"/>
          <w:numId w:val="1001"/>
        </w:numPr>
        <w:pStyle w:val="Compact"/>
      </w:pPr>
      <w:r>
        <w:t xml:space="preserve">Payment is due within thirty (30) calendar days from the issue date of this invoice. Late payments will accrue interest at the maximum rate established by the Superintendencia Financiera de Colombia.</w:t>
      </w:r>
    </w:p>
    <w:p>
      <w:pPr>
        <w:numPr>
          <w:ilvl w:val="0"/>
          <w:numId w:val="1001"/>
        </w:numPr>
        <w:pStyle w:val="Compact"/>
      </w:pPr>
      <w:r>
        <w:t xml:space="preserve">This invoice is issued in compliance with the Colombian tax regulations (Estatuto Tributario) and DIAN electronic invoicing requirements (Resolución 000110 de 2019).</w:t>
      </w:r>
    </w:p>
    <w:p>
      <w:pPr>
        <w:numPr>
          <w:ilvl w:val="0"/>
          <w:numId w:val="1001"/>
        </w:numPr>
        <w:pStyle w:val="Compact"/>
      </w:pPr>
      <w:r>
        <w:t xml:space="preserve">The Project Manager services described herein include on-site presence in Medellín, Colombia, as well as remote coordination as specified in the SOW. Travel expenses within the Medellín metropolitan area are included in the rates above.</w:t>
      </w:r>
    </w:p>
    <w:p>
      <w:pPr>
        <w:numPr>
          <w:ilvl w:val="0"/>
          <w:numId w:val="1001"/>
        </w:numPr>
        <w:pStyle w:val="Compact"/>
      </w:pPr>
      <w:r>
        <w:t xml:space="preserve">Any dispute arising from this invoice or the underlying Project Manager engagement shall be resolved under the jurisdiction of the commercial courts of Medellín, Antioquia, Colombia.</w:t>
      </w:r>
    </w:p>
    <w:p>
      <w:pPr>
        <w:numPr>
          <w:ilvl w:val="0"/>
          <w:numId w:val="1001"/>
        </w:numPr>
        <w:pStyle w:val="Compact"/>
      </w:pPr>
      <w:r>
        <w:t xml:space="preserve">Applicable Colombian withholding taxes (retención en la fuente) of 4% on income (renta) and 4% on VAT (IVA) shall be deducted at source by the client and remitted to DIAN. The net amount payable after withholdings is COP 141.805.556.</w:t>
      </w:r>
    </w:p>
    <w:p>
      <w:pPr>
        <w:numPr>
          <w:ilvl w:val="0"/>
          <w:numId w:val="1001"/>
        </w:numPr>
        <w:pStyle w:val="Compact"/>
      </w:pPr>
      <w:r>
        <w:t xml:space="preserve">This invoice constitutes a valid tax document (documento de soporte fiscal) for both parties for accounting and tax purposes in Colombia.</w:t>
      </w:r>
    </w:p>
    <w:bookmarkEnd w:id="26"/>
    <w:p>
      <w:pPr>
        <w:pStyle w:val="FirstParagraph"/>
      </w:pPr>
      <w:r>
        <w:rPr>
          <w:bCs/>
          <w:b/>
        </w:rPr>
        <w:t xml:space="preserve">Medellín Project Solutions S.A.S.</w:t>
      </w:r>
      <w:r>
        <w:t xml:space="preserve"> </w:t>
      </w:r>
      <w:r>
        <w:t xml:space="preserve">– NIT 901.234.567-8</w:t>
      </w:r>
    </w:p>
    <w:p>
      <w:pPr>
        <w:pStyle w:val="BodyText"/>
      </w:pPr>
      <w:r>
        <w:t xml:space="preserve">Calle 43 # 48E-12, Of. 501, El Poblado, Medellín, Antioquia, Colombia</w:t>
      </w:r>
    </w:p>
    <w:p>
      <w:pPr>
        <w:pStyle w:val="BodyText"/>
      </w:pPr>
      <w:r>
        <w:t xml:space="preserve">Registered with DIAN | Chamber of Commerce of Medellín (Cámara de Comercio de Medellín) – RUT No. 9012345678</w:t>
      </w:r>
    </w:p>
    <w:p>
      <w:pPr>
        <w:pStyle w:val="BodyText"/>
      </w:pPr>
      <w:r>
        <w:t xml:space="preserve">This Invoice was generated electronically in compliance with Colombian tax law. For queries regarding this Project Manager invoice, contact billing@medellinprojectsolutions.co</w:t>
      </w:r>
    </w:p>
    <w:p>
      <w:pPr>
        <w:pStyle w:val="BodyText"/>
      </w:pPr>
      <w:r>
        <w:t xml:space="preserve">© 2025 Medellín Project Solutions S.A.S. – All rights reserved. Invoice INV-2025-00487 | Colombia Medellín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Colombia Medellín</dc:title>
  <dc:creator/>
  <dc:language>en</dc:language>
  <cp:keywords/>
  <dcterms:created xsi:type="dcterms:W3CDTF">2026-10-10T03:49:28Z</dcterms:created>
  <dcterms:modified xsi:type="dcterms:W3CDTF">2026-10-10T03:49:28Z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