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alexandria-project-solutions-ltd."/>
    <w:p>
      <w:pPr>
        <w:pStyle w:val="Heading1"/>
      </w:pPr>
      <w:r>
        <w:t xml:space="preserve">Alexandria Project Solutions Ltd.</w:t>
      </w:r>
    </w:p>
    <w:p>
      <w:pPr>
        <w:pStyle w:val="FirstParagraph"/>
      </w:pPr>
      <w:r>
        <w:t xml:space="preserve">12 Corniche El-Nil Street, Smouha District</w:t>
      </w:r>
    </w:p>
    <w:p>
      <w:pPr>
        <w:pStyle w:val="BodyText"/>
      </w:pPr>
      <w:r>
        <w:t xml:space="preserve">Alexandria, 21543, Egypt</w:t>
      </w:r>
    </w:p>
    <w:p>
      <w:pPr>
        <w:pStyle w:val="BodyText"/>
      </w:pPr>
      <w:r>
        <w:t xml:space="preserve">Tel: +20 3 555 0123 | Email: billing@alexprojectsol.com</w:t>
      </w:r>
    </w:p>
    <w:p>
      <w:pPr>
        <w:pStyle w:val="BodyText"/>
      </w:pPr>
      <w:r>
        <w:t xml:space="preserve">Commercial Registration No: 45821 | Tax ID: 552-883-1047</w:t>
      </w:r>
    </w:p>
    <w:bookmarkEnd w:id="20"/>
    <w:bookmarkStart w:id="21" w:name="invoice"/>
    <w:p>
      <w:pPr>
        <w:pStyle w:val="Heading2"/>
      </w:pPr>
      <w:r>
        <w:t xml:space="preserve">INVOICE</w:t>
      </w:r>
    </w:p>
    <w:p>
      <w:pPr>
        <w:pStyle w:val="FirstParagraph"/>
      </w:pPr>
      <w:r>
        <w:t xml:space="preserve">Invoice No: AXP-2025-0047</w:t>
      </w:r>
    </w:p>
    <w:p>
      <w:pPr>
        <w:pStyle w:val="BodyText"/>
      </w:pPr>
      <w:r>
        <w:t xml:space="preserve">Date: June 15, 2025</w:t>
      </w:r>
    </w:p>
    <w:p>
      <w:pPr>
        <w:pStyle w:val="BodyText"/>
      </w:pPr>
      <w:r>
        <w:t xml:space="preserve">Due Date: July 15,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Medina Coastal Development Group</w:t>
      </w:r>
    </w:p>
    <w:p>
      <w:pPr>
        <w:pStyle w:val="BodyText"/>
      </w:pPr>
      <w:r>
        <w:t xml:space="preserve">Attn: Mr. Hassan El-Sayed, Chief Executive Officer</w:t>
      </w:r>
    </w:p>
    <w:p>
      <w:pPr>
        <w:pStyle w:val="BodyText"/>
      </w:pPr>
      <w:r>
        <w:t xml:space="preserve">45 Port Said Road, Eastern District</w:t>
      </w:r>
    </w:p>
    <w:p>
      <w:pPr>
        <w:pStyle w:val="BodyText"/>
      </w:pPr>
      <w:r>
        <w:t xml:space="preserve">Alexandria, 21951, Egypt</w:t>
      </w:r>
    </w:p>
    <w:p>
      <w:pPr>
        <w:pStyle w:val="BodyText"/>
      </w:pPr>
      <w:r>
        <w:t xml:space="preserve">Tel: +20 3 488 7766</w:t>
      </w:r>
    </w:p>
    <w:p>
      <w:pPr>
        <w:pStyle w:val="BodyText"/>
      </w:pPr>
      <w:r>
        <w:t xml:space="preserve">Email: finance@medinacoastal.com</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Alexandria Marina Phase II</w:t>
      </w:r>
    </w:p>
    <w:p>
      <w:pPr>
        <w:pStyle w:val="BodyText"/>
      </w:pPr>
      <w:r>
        <w:rPr>
          <w:bCs/>
          <w:b/>
        </w:rPr>
        <w:t xml:space="preserve">Contract No:</w:t>
      </w:r>
      <w:r>
        <w:t xml:space="preserve"> </w:t>
      </w:r>
      <w:r>
        <w:t xml:space="preserve">MCDG-2025-019</w:t>
      </w:r>
    </w:p>
    <w:p>
      <w:pPr>
        <w:pStyle w:val="BodyText"/>
      </w:pPr>
      <w:r>
        <w:rPr>
          <w:bCs/>
          <w:b/>
        </w:rPr>
        <w:t xml:space="preserve">Service Period:</w:t>
      </w:r>
      <w:r>
        <w:t xml:space="preserve"> </w:t>
      </w:r>
      <w:r>
        <w:t xml:space="preserve">May 1 – May 31, 2025</w:t>
      </w:r>
    </w:p>
    <w:p>
      <w:pPr>
        <w:pStyle w:val="BodyText"/>
      </w:pPr>
      <w:r>
        <w:rPr>
          <w:bCs/>
          <w:b/>
        </w:rPr>
        <w:t xml:space="preserve">Location:</w:t>
      </w:r>
      <w:r>
        <w:t xml:space="preserve"> </w:t>
      </w:r>
      <w:r>
        <w:t xml:space="preserve">Alexandria, Egypt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Role / Title</w:t>
            </w:r>
          </w:p>
        </w:tc>
        <w:tc>
          <w:tcPr/>
          <w:p>
            <w:pPr>
              <w:pStyle w:val="Compact"/>
              <w:jc w:val="left"/>
            </w:pPr>
            <w:r>
              <w:t xml:space="preserve">Hours</w:t>
            </w:r>
          </w:p>
        </w:tc>
        <w:tc>
          <w:tcPr/>
          <w:p>
            <w:pPr>
              <w:pStyle w:val="Compact"/>
              <w:jc w:val="left"/>
            </w:pPr>
            <w:r>
              <w:t xml:space="preserve">Rate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Senior Project Manager oversight for Alexandria Marina Phase II construction, including daily site supervision, stakeholder coordination, and progress reporting in Alexandria, Egypt.</w:t>
            </w:r>
          </w:p>
        </w:tc>
        <w:tc>
          <w:tcPr/>
          <w:p>
            <w:pPr>
              <w:pStyle w:val="Compact"/>
              <w:jc w:val="left"/>
            </w:pPr>
            <w:r>
              <w:t xml:space="preserve">Project Manager</w:t>
            </w:r>
          </w:p>
        </w:tc>
        <w:tc>
          <w:tcPr/>
          <w:p>
            <w:pPr>
              <w:pStyle w:val="Compact"/>
              <w:jc w:val="left"/>
            </w:pPr>
            <w:r>
              <w:t xml:space="preserve">160</w:t>
            </w:r>
          </w:p>
        </w:tc>
        <w:tc>
          <w:tcPr/>
          <w:p>
            <w:pPr>
              <w:pStyle w:val="Compact"/>
              <w:jc w:val="left"/>
            </w:pPr>
            <w:r>
              <w:t xml:space="preserve">1,200.00</w:t>
            </w:r>
          </w:p>
        </w:tc>
        <w:tc>
          <w:tcPr/>
          <w:p>
            <w:pPr>
              <w:pStyle w:val="Compact"/>
              <w:jc w:val="left"/>
            </w:pPr>
            <w:r>
              <w:t xml:space="preserve">192,000.00</w:t>
            </w:r>
          </w:p>
        </w:tc>
      </w:tr>
      <w:tr>
        <w:tc>
          <w:tcPr/>
          <w:p>
            <w:pPr>
              <w:pStyle w:val="Compact"/>
              <w:jc w:val="left"/>
            </w:pPr>
            <w:r>
              <w:t xml:space="preserve">2</w:t>
            </w:r>
          </w:p>
        </w:tc>
        <w:tc>
          <w:tcPr/>
          <w:p>
            <w:pPr>
              <w:pStyle w:val="Compact"/>
              <w:jc w:val="left"/>
            </w:pPr>
            <w:r>
              <w:t xml:space="preserve">Project Manager preparation and submission of monthly progress reports, risk assessments, and resource allocation plans for the Alexandria coastal development project.</w:t>
            </w:r>
          </w:p>
        </w:tc>
        <w:tc>
          <w:tcPr/>
          <w:p>
            <w:pPr>
              <w:pStyle w:val="Compact"/>
              <w:jc w:val="left"/>
            </w:pPr>
            <w:r>
              <w:t xml:space="preserve">Project Manager</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Project Manager facilitation of weekly coordination meetings with Egyptian government authorities, local Alexandria contractors, and international engineering consultants.</w:t>
            </w:r>
          </w:p>
        </w:tc>
        <w:tc>
          <w:tcPr/>
          <w:p>
            <w:pPr>
              <w:pStyle w:val="Compact"/>
              <w:jc w:val="left"/>
            </w:pPr>
            <w:r>
              <w:t xml:space="preserve">Project Manager</w:t>
            </w:r>
          </w:p>
        </w:tc>
        <w:tc>
          <w:tcPr/>
          <w:p>
            <w:pPr>
              <w:pStyle w:val="Compact"/>
              <w:jc w:val="left"/>
            </w:pPr>
            <w:r>
              <w:t xml:space="preserve">24</w:t>
            </w:r>
          </w:p>
        </w:tc>
        <w:tc>
          <w:tcPr/>
          <w:p>
            <w:pPr>
              <w:pStyle w:val="Compact"/>
              <w:jc w:val="left"/>
            </w:pPr>
            <w:r>
              <w:t xml:space="preserve">1,500.00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Project Manager management of subcontractor performance, quality assurance inspections, and compliance with Egyptian building codes and Alexandria municipal regulations.</w:t>
            </w:r>
          </w:p>
        </w:tc>
        <w:tc>
          <w:tcPr/>
          <w:p>
            <w:pPr>
              <w:pStyle w:val="Compact"/>
              <w:jc w:val="left"/>
            </w:pPr>
            <w:r>
              <w:t xml:space="preserve">Project Manager</w:t>
            </w:r>
          </w:p>
        </w:tc>
        <w:tc>
          <w:tcPr/>
          <w:p>
            <w:pPr>
              <w:pStyle w:val="Compact"/>
              <w:jc w:val="left"/>
            </w:pPr>
            <w:r>
              <w:t xml:space="preserve">32</w:t>
            </w:r>
          </w:p>
        </w:tc>
        <w:tc>
          <w:tcPr/>
          <w:p>
            <w:pPr>
              <w:pStyle w:val="Compact"/>
              <w:jc w:val="left"/>
            </w:pPr>
            <w:r>
              <w:t xml:space="preserve">1,200.00</w:t>
            </w:r>
          </w:p>
        </w:tc>
        <w:tc>
          <w:tcPr/>
          <w:p>
            <w:pPr>
              <w:pStyle w:val="Compact"/>
              <w:jc w:val="left"/>
            </w:pPr>
            <w:r>
              <w:t xml:space="preserve">38,400.00</w:t>
            </w:r>
          </w:p>
        </w:tc>
      </w:tr>
      <w:tr>
        <w:tc>
          <w:tcPr/>
          <w:p>
            <w:pPr>
              <w:pStyle w:val="Compact"/>
              <w:jc w:val="left"/>
            </w:pPr>
            <w:r>
              <w:t xml:space="preserve">5</w:t>
            </w:r>
          </w:p>
        </w:tc>
        <w:tc>
          <w:tcPr/>
          <w:p>
            <w:pPr>
              <w:pStyle w:val="Compact"/>
              <w:jc w:val="left"/>
            </w:pPr>
            <w:r>
              <w:t xml:space="preserve">Project Manager development and execution of the project change management protocol, including scope modification approvals and budget reallocation for the Alexandria waterfront initiative.</w:t>
            </w:r>
          </w:p>
        </w:tc>
        <w:tc>
          <w:tcPr/>
          <w:p>
            <w:pPr>
              <w:pStyle w:val="Compact"/>
              <w:jc w:val="left"/>
            </w:pPr>
            <w:r>
              <w:t xml:space="preserve">Project Manager</w:t>
            </w:r>
          </w:p>
        </w:tc>
        <w:tc>
          <w:tcPr/>
          <w:p>
            <w:pPr>
              <w:pStyle w:val="Compact"/>
              <w:jc w:val="left"/>
            </w:pPr>
            <w:r>
              <w:t xml:space="preserve">16</w:t>
            </w:r>
          </w:p>
        </w:tc>
        <w:tc>
          <w:tcPr/>
          <w:p>
            <w:pPr>
              <w:pStyle w:val="Compact"/>
              <w:jc w:val="left"/>
            </w:pPr>
            <w:r>
              <w:t xml:space="preserve">1,500.00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Project Manager travel and on-site presence at the Alexandria Marina construction zone, including transportation, accommodation, and field equipment usage for the month of May 2025.</w:t>
            </w:r>
          </w:p>
        </w:tc>
        <w:tc>
          <w:tcPr/>
          <w:p>
            <w:pPr>
              <w:pStyle w:val="Compact"/>
              <w:jc w:val="left"/>
            </w:pPr>
            <w:r>
              <w:t xml:space="preserve">Project Manager</w:t>
            </w:r>
          </w:p>
        </w:tc>
        <w:tc>
          <w:tcPr/>
          <w:p>
            <w:pPr>
              <w:pStyle w:val="Compact"/>
              <w:jc w:val="left"/>
            </w:pPr>
            <w:r>
              <w:t xml:space="preserve">—</w:t>
            </w:r>
          </w:p>
        </w:tc>
        <w:tc>
          <w:tcPr/>
          <w:p>
            <w:pPr>
              <w:pStyle w:val="Compact"/>
              <w:jc w:val="left"/>
            </w:pPr>
            <w:r>
              <w:t xml:space="preserve">—</w:t>
            </w:r>
          </w:p>
        </w:tc>
        <w:tc>
          <w:tcPr/>
          <w:p>
            <w:pPr>
              <w:pStyle w:val="Compact"/>
              <w:jc w:val="left"/>
            </w:pPr>
            <w:r>
              <w:t xml:space="preserve">15,600.00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354,000.00 EGP</w:t>
            </w:r>
          </w:p>
        </w:tc>
      </w:tr>
      <w:tr>
        <w:tc>
          <w:tcPr/>
          <w:p>
            <w:pPr>
              <w:pStyle w:val="Compact"/>
              <w:jc w:val="left"/>
            </w:pPr>
            <w:r>
              <w:t xml:space="preserve">VAT (14% – Egyptian Tax Authority)</w:t>
            </w:r>
          </w:p>
        </w:tc>
        <w:tc>
          <w:tcPr/>
          <w:p>
            <w:pPr>
              <w:pStyle w:val="Compact"/>
              <w:jc w:val="left"/>
            </w:pPr>
            <w:r>
              <w:t xml:space="preserve">49,560.00 EGP</w:t>
            </w:r>
          </w:p>
        </w:tc>
      </w:tr>
      <w:tr>
        <w:tc>
          <w:tcPr/>
          <w:p>
            <w:pPr>
              <w:pStyle w:val="Compact"/>
              <w:jc w:val="left"/>
            </w:pPr>
            <w:r>
              <w:t xml:space="preserve">Withholding Tax (10%)</w:t>
            </w:r>
          </w:p>
        </w:tc>
        <w:tc>
          <w:tcPr/>
          <w:p>
            <w:pPr>
              <w:pStyle w:val="Compact"/>
              <w:jc w:val="left"/>
            </w:pPr>
            <w:r>
              <w:t xml:space="preserve">(35,400.00) EGP</w:t>
            </w:r>
          </w:p>
        </w:tc>
      </w:tr>
      <w:tr>
        <w:tc>
          <w:tcPr/>
          <w:p>
            <w:pPr>
              <w:pStyle w:val="Compact"/>
              <w:jc w:val="left"/>
            </w:pPr>
            <w:r>
              <w:t xml:space="preserve">Grand Total Due</w:t>
            </w:r>
          </w:p>
        </w:tc>
        <w:tc>
          <w:tcPr/>
          <w:p>
            <w:pPr>
              <w:pStyle w:val="Compact"/>
              <w:jc w:val="left"/>
            </w:pPr>
            <w:r>
              <w:t xml:space="preserve">368,160.00 EGP</w:t>
            </w:r>
          </w:p>
        </w:tc>
      </w:tr>
    </w:tbl>
    <w:bookmarkStart w:id="24" w:name="payment-terms-notes"/>
    <w:p>
      <w:pPr>
        <w:pStyle w:val="Heading3"/>
      </w:pPr>
      <w:r>
        <w:t xml:space="preserve">Payment Terms &amp; Notes</w:t>
      </w:r>
    </w:p>
    <w:p>
      <w:pPr>
        <w:pStyle w:val="FirstParagraph"/>
      </w:pPr>
      <w:r>
        <w:rPr>
          <w:bCs/>
          <w:b/>
        </w:rPr>
        <w:t xml:space="preserve">Payment Method:</w:t>
      </w:r>
      <w:r>
        <w:t xml:space="preserve"> </w:t>
      </w:r>
      <w:r>
        <w:t xml:space="preserve">Bank transfer to Alexandria National Bank, Branch: Smouha, Account Name: Alexandria Project Solutions Ltd., IBAN: EG38 AXPB 0001 2345 6789 0123 4567.</w:t>
      </w:r>
    </w:p>
    <w:p>
      <w:pPr>
        <w:pStyle w:val="BodyText"/>
      </w:pPr>
      <w:r>
        <w:rPr>
          <w:bCs/>
          <w:b/>
        </w:rPr>
        <w:t xml:space="preserve">Due Date:</w:t>
      </w:r>
      <w:r>
        <w:t xml:space="preserve"> </w:t>
      </w:r>
      <w:r>
        <w:t xml:space="preserve">This Invoice must be settled in full within thirty (30) calendar days from the date of issue, i.e., on or before July 15, 2025. Late payments shall incur a penalty of 2% per month as stipulated in the master service agreement between the parties.</w:t>
      </w:r>
    </w:p>
    <w:p>
      <w:pPr>
        <w:pStyle w:val="BodyText"/>
      </w:pPr>
      <w:r>
        <w:rPr>
          <w:bCs/>
          <w:b/>
        </w:rPr>
        <w:t xml:space="preserve">Scope Confirmation:</w:t>
      </w:r>
      <w:r>
        <w:t xml:space="preserve"> </w:t>
      </w:r>
      <w:r>
        <w:t xml:space="preserve">All services rendered by the Project Manager during the billing period were performed in accordance with the terms outlined in Contract No. MCDG-2025-019 and the approved project charter for the Alexandria Marina Phase II development. The Project Manager confirms that all deliverables, including site reports, risk registers, and coordination minutes, have been submitted to the client's project office in Alexandria.</w:t>
      </w:r>
    </w:p>
    <w:p>
      <w:pPr>
        <w:pStyle w:val="BodyText"/>
      </w:pPr>
      <w:r>
        <w:rPr>
          <w:bCs/>
          <w:b/>
        </w:rPr>
        <w:t xml:space="preserve">Regulatory Compliance:</w:t>
      </w:r>
      <w:r>
        <w:t xml:space="preserve"> </w:t>
      </w:r>
      <w:r>
        <w:t xml:space="preserve">This Invoice has been prepared in compliance with the Egyptian Tax Authority regulations and the Alexandria Commercial Registry requirements. The VAT number and commercial registration details listed above are current and verified. The Project Manager services described herein are classified under Egyptian Standard Industrial Classification (ESIC) code 7022 – Management Consulting Activities.</w:t>
      </w:r>
    </w:p>
    <w:p>
      <w:pPr>
        <w:pStyle w:val="BodyText"/>
      </w:pPr>
      <w:r>
        <w:rPr>
          <w:bCs/>
          <w:b/>
        </w:rPr>
        <w:t xml:space="preserve">Dispute Resolution:</w:t>
      </w:r>
      <w:r>
        <w:t xml:space="preserve"> </w:t>
      </w:r>
      <w:r>
        <w:t xml:space="preserve">Any disputes arising from this Invoice or the underlying Project Manager engagement shall be resolved through arbitration in Alexandria, Egypt, in accordance with the Egyptian Arbitration Law No. 27 of 1994. The parties agree that the competent courts of Alexandria shall have jurisdiction over any matters not covered by the arbitration clause.</w:t>
      </w:r>
    </w:p>
    <w:p>
      <w:pPr>
        <w:pStyle w:val="BodyText"/>
      </w:pPr>
      <w:r>
        <w:rPr>
          <w:bCs/>
          <w:b/>
        </w:rPr>
        <w:t xml:space="preserve">Authorization:</w:t>
      </w:r>
      <w:r>
        <w:t xml:space="preserve"> </w:t>
      </w:r>
      <w:r>
        <w:t xml:space="preserve">This Invoice is authorized and approved by the undersigned Project Manager and the Finance Director of Alexandria Project Solutions Ltd. The client's acknowledgment of receipt does not constitute acceptance of payment terms beyond those stated herein.</w:t>
      </w:r>
    </w:p>
    <w:bookmarkEnd w:id="24"/>
    <w:p>
      <w:pPr>
        <w:pStyle w:val="BodyText"/>
      </w:pPr>
      <w:r>
        <w:rPr>
          <w:bCs/>
          <w:b/>
        </w:rPr>
        <w:t xml:space="preserve">Alexandria Project Solutions Ltd.</w:t>
      </w:r>
      <w:r>
        <w:t xml:space="preserve"> </w:t>
      </w:r>
      <w:r>
        <w:t xml:space="preserve">| 12 Corniche El-Nil Street, Smouha, Alexandria 21543, Egypt</w:t>
      </w:r>
    </w:p>
    <w:p>
      <w:pPr>
        <w:pStyle w:val="BodyText"/>
      </w:pPr>
      <w:r>
        <w:t xml:space="preserve">This Invoice was generated electronically and is valid without a physical signature. For verification, contact billing@alexprojectsol.com or call +20 3 555 0123.</w:t>
      </w:r>
    </w:p>
    <w:p>
      <w:pPr>
        <w:pStyle w:val="BodyText"/>
      </w:pPr>
      <w:r>
        <w:t xml:space="preserve">Thank you for your business. We appreciate the opportunity to provide Project Manager services for your Alexandria development project.</w:t>
      </w:r>
    </w:p>
    <w:p>
      <w:pPr>
        <w:pStyle w:val="BodyText"/>
      </w:pPr>
      <w:r>
        <w:t xml:space="preserve">Invoice AXP-2025-0047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Egypt Alexandria</dc:title>
  <dc:creator/>
  <dc:language>en</dc:language>
  <cp:keywords/>
  <dcterms:created xsi:type="dcterms:W3CDTF">2026-10-10T09:10:00Z</dcterms:created>
  <dcterms:modified xsi:type="dcterms:W3CDTF">2026-10-10T09:10:00Z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