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apex-consulting-group"/>
    <w:p>
      <w:pPr>
        <w:pStyle w:val="Heading1"/>
      </w:pPr>
      <w:r>
        <w:t xml:space="preserve">Nile Apex Consulting Group</w:t>
      </w:r>
    </w:p>
    <w:p>
      <w:pPr>
        <w:pStyle w:val="FirstParagraph"/>
      </w:pPr>
      <w:r>
        <w:t xml:space="preserve">12 Tahrir Square, Downtown District</w:t>
      </w:r>
    </w:p>
    <w:p>
      <w:pPr>
        <w:pStyle w:val="BodyText"/>
      </w:pPr>
      <w:r>
        <w:t xml:space="preserve">Cairo, Egypt 11511</w:t>
      </w:r>
    </w:p>
    <w:p>
      <w:pPr>
        <w:pStyle w:val="BodyText"/>
      </w:pPr>
      <w:r>
        <w:t xml:space="preserve">Tel: +20 2 2578 4433 | Email: billing@nileapex-eg.com</w:t>
      </w:r>
    </w:p>
    <w:p>
      <w:pPr>
        <w:pStyle w:val="BodyText"/>
      </w:pPr>
      <w:r>
        <w:t xml:space="preserve">Tax Registration No. (TRN): 512-987-654-321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NAC-2025-00472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PM-EGY-2025-018</w:t>
      </w:r>
    </w:p>
    <w:bookmarkEnd w:id="21"/>
    <w:bookmarkStart w:id="22" w:name="bill-to"/>
    <w:p>
      <w:pPr>
        <w:pStyle w:val="Heading3"/>
      </w:pPr>
      <w:r>
        <w:t xml:space="preserve">Bill To</w:t>
      </w:r>
    </w:p>
    <w:p>
      <w:pPr>
        <w:pStyle w:val="FirstParagraph"/>
      </w:pPr>
      <w:r>
        <w:rPr>
          <w:bCs/>
          <w:b/>
        </w:rPr>
        <w:t xml:space="preserve">Horizon Development Partners S.A.E.</w:t>
      </w:r>
    </w:p>
    <w:p>
      <w:pPr>
        <w:pStyle w:val="BodyText"/>
      </w:pPr>
      <w:r>
        <w:t xml:space="preserve">45 El Tahrir Street, Zamalek</w:t>
      </w:r>
    </w:p>
    <w:p>
      <w:pPr>
        <w:pStyle w:val="BodyText"/>
      </w:pPr>
      <w:r>
        <w:t xml:space="preserve">Cairo, Egypt 11211</w:t>
      </w:r>
    </w:p>
    <w:p>
      <w:pPr>
        <w:pStyle w:val="BodyText"/>
      </w:pPr>
      <w:r>
        <w:t xml:space="preserve">Attn: Mr. Ahmed El-Sayed, CFO</w:t>
      </w:r>
    </w:p>
    <w:p>
      <w:pPr>
        <w:pStyle w:val="BodyText"/>
      </w:pPr>
      <w:r>
        <w:t xml:space="preserve">Tel: +20 2 2735 8890</w:t>
      </w:r>
    </w:p>
    <w:p>
      <w:pPr>
        <w:pStyle w:val="BodyText"/>
      </w:pPr>
      <w:r>
        <w:t xml:space="preserve">Email: finance@horizondev-eg.com</w:t>
      </w:r>
    </w:p>
    <w:p>
      <w:pPr>
        <w:pStyle w:val="BodyText"/>
      </w:pPr>
      <w:r>
        <w:t xml:space="preserve">VAT No: 552-341-789-012</w:t>
      </w:r>
    </w:p>
    <w:bookmarkEnd w:id="22"/>
    <w:bookmarkStart w:id="23" w:name="service-provider"/>
    <w:p>
      <w:pPr>
        <w:pStyle w:val="Heading3"/>
      </w:pPr>
      <w:r>
        <w:t xml:space="preserve">Service Provider</w:t>
      </w:r>
    </w:p>
    <w:p>
      <w:pPr>
        <w:pStyle w:val="FirstParagraph"/>
      </w:pPr>
      <w:r>
        <w:rPr>
          <w:bCs/>
          <w:b/>
        </w:rPr>
        <w:t xml:space="preserve">Nile Apex Consulting Group</w:t>
      </w:r>
    </w:p>
    <w:p>
      <w:pPr>
        <w:pStyle w:val="BodyText"/>
      </w:pPr>
      <w:r>
        <w:t xml:space="preserve">Project Management Division</w:t>
      </w:r>
    </w:p>
    <w:p>
      <w:pPr>
        <w:pStyle w:val="BodyText"/>
      </w:pPr>
      <w:r>
        <w:t xml:space="preserve">Cairo, Egypt 11511</w:t>
      </w:r>
    </w:p>
    <w:p>
      <w:pPr>
        <w:pStyle w:val="BodyText"/>
      </w:pPr>
      <w:r>
        <w:t xml:space="preserve">Attn: Dr. Mona Hassan, Senior Project Manager</w:t>
      </w:r>
    </w:p>
    <w:p>
      <w:pPr>
        <w:pStyle w:val="BodyText"/>
      </w:pPr>
      <w:r>
        <w:t xml:space="preserve">Tel: +20 2 2578 4433</w:t>
      </w:r>
    </w:p>
    <w:p>
      <w:pPr>
        <w:pStyle w:val="BodyText"/>
      </w:pPr>
      <w:r>
        <w:t xml:space="preserve">Email: projects@nileapex-eg.com</w:t>
      </w:r>
    </w:p>
    <w:p>
      <w:pPr>
        <w:pStyle w:val="BodyText"/>
      </w:pPr>
      <w:r>
        <w:t xml:space="preserve">Commercial Reg. No: 108-445-221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(EGP)</w:t>
            </w:r>
          </w:p>
        </w:tc>
        <w:tc>
          <w:tcPr/>
          <w:p>
            <w:pPr>
              <w:pStyle w:val="Compact"/>
              <w:jc w:val="left"/>
            </w:pPr>
            <w:r>
              <w:t xml:space="preserve">Qty</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Senior Project Manager – Full-time engagement for the Horizon Residential Tower construction project. Includes project planning, scope definition, resource allocation, and stakeholder coordination across all phases in Egypt Cairo.</w:t>
            </w:r>
          </w:p>
        </w:tc>
        <w:tc>
          <w:tcPr/>
          <w:p>
            <w:pPr>
              <w:pStyle w:val="Compact"/>
              <w:jc w:val="left"/>
            </w:pPr>
            <w:r>
              <w:t xml:space="preserve">Jan – Jun 2025</w:t>
            </w:r>
          </w:p>
        </w:tc>
        <w:tc>
          <w:tcPr/>
          <w:p>
            <w:pPr>
              <w:pStyle w:val="Compact"/>
              <w:jc w:val="left"/>
            </w:pPr>
            <w:r>
              <w:t xml:space="preserve">45,000</w:t>
            </w:r>
          </w:p>
        </w:tc>
        <w:tc>
          <w:tcPr/>
          <w:p>
            <w:pPr>
              <w:pStyle w:val="Compact"/>
              <w:jc w:val="left"/>
            </w:pPr>
            <w:r>
              <w:t xml:space="preserve">6</w:t>
            </w:r>
          </w:p>
        </w:tc>
        <w:tc>
          <w:tcPr/>
          <w:p>
            <w:pPr>
              <w:pStyle w:val="Compact"/>
              <w:jc w:val="left"/>
            </w:pPr>
            <w:r>
              <w:t xml:space="preserve">270,000.00</w:t>
            </w:r>
          </w:p>
        </w:tc>
      </w:tr>
      <w:tr>
        <w:tc>
          <w:tcPr/>
          <w:p>
            <w:pPr>
              <w:pStyle w:val="Compact"/>
              <w:jc w:val="left"/>
            </w:pPr>
            <w:r>
              <w:t xml:space="preserve">2</w:t>
            </w:r>
          </w:p>
        </w:tc>
        <w:tc>
          <w:tcPr/>
          <w:p>
            <w:pPr>
              <w:pStyle w:val="Compact"/>
              <w:jc w:val="left"/>
            </w:pPr>
            <w:r>
              <w:t xml:space="preserve">Project Manager – Risk Assessment &amp; Mitigation Strategy. Comprehensive risk register development, contingency planning, and weekly risk review sessions for the infrastructure development project located in the New Administrative Capital, Egypt Cairo.</w:t>
            </w:r>
          </w:p>
        </w:tc>
        <w:tc>
          <w:tcPr/>
          <w:p>
            <w:pPr>
              <w:pStyle w:val="Compact"/>
              <w:jc w:val="left"/>
            </w:pPr>
            <w:r>
              <w:t xml:space="preserve">Feb – May 2025</w:t>
            </w:r>
          </w:p>
        </w:tc>
        <w:tc>
          <w:tcPr/>
          <w:p>
            <w:pPr>
              <w:pStyle w:val="Compact"/>
              <w:jc w:val="left"/>
            </w:pPr>
            <w:r>
              <w:t xml:space="preserve">12,500</w:t>
            </w:r>
          </w:p>
        </w:tc>
        <w:tc>
          <w:tcPr/>
          <w:p>
            <w:pPr>
              <w:pStyle w:val="Compact"/>
              <w:jc w:val="left"/>
            </w:pPr>
            <w:r>
              <w:t xml:space="preserve">4</w:t>
            </w:r>
          </w:p>
        </w:tc>
        <w:tc>
          <w:tcPr/>
          <w:p>
            <w:pPr>
              <w:pStyle w:val="Compact"/>
              <w:jc w:val="left"/>
            </w:pPr>
            <w:r>
              <w:t xml:space="preserve">50,000.00</w:t>
            </w:r>
          </w:p>
        </w:tc>
      </w:tr>
      <w:tr>
        <w:tc>
          <w:tcPr/>
          <w:p>
            <w:pPr>
              <w:pStyle w:val="Compact"/>
              <w:jc w:val="left"/>
            </w:pPr>
            <w:r>
              <w:t xml:space="preserve">3</w:t>
            </w:r>
          </w:p>
        </w:tc>
        <w:tc>
          <w:tcPr/>
          <w:p>
            <w:pPr>
              <w:pStyle w:val="Compact"/>
              <w:jc w:val="left"/>
            </w:pPr>
            <w:r>
              <w:t xml:space="preserve">Project Manager – Quality Assurance &amp; Compliance Oversight. Ensuring all deliverables meet Egyptian Building Code standards and international ISO 21500 project management guidelines. Monthly QA audits and corrective action reporting.</w:t>
            </w:r>
          </w:p>
        </w:tc>
        <w:tc>
          <w:tcPr/>
          <w:p>
            <w:pPr>
              <w:pStyle w:val="Compact"/>
              <w:jc w:val="left"/>
            </w:pPr>
            <w:r>
              <w:t xml:space="preserve">Mar – Jun 2025</w:t>
            </w:r>
          </w:p>
        </w:tc>
        <w:tc>
          <w:tcPr/>
          <w:p>
            <w:pPr>
              <w:pStyle w:val="Compact"/>
              <w:jc w:val="left"/>
            </w:pPr>
            <w:r>
              <w:t xml:space="preserve">8,000</w:t>
            </w:r>
          </w:p>
        </w:tc>
        <w:tc>
          <w:tcPr/>
          <w:p>
            <w:pPr>
              <w:pStyle w:val="Compact"/>
              <w:jc w:val="left"/>
            </w:pPr>
            <w:r>
              <w:t xml:space="preserve">4</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Project Manager – Client Reporting &amp; Executive Presentations. Preparation of monthly progress reports, budget variance analysis, and quarterly executive briefing sessions for the board of directors in Cairo.</w:t>
            </w:r>
          </w:p>
        </w:tc>
        <w:tc>
          <w:tcPr/>
          <w:p>
            <w:pPr>
              <w:pStyle w:val="Compact"/>
              <w:jc w:val="left"/>
            </w:pPr>
            <w:r>
              <w:t xml:space="preserve">Jan – Jun 2025</w:t>
            </w:r>
          </w:p>
        </w:tc>
        <w:tc>
          <w:tcPr/>
          <w:p>
            <w:pPr>
              <w:pStyle w:val="Compact"/>
              <w:jc w:val="left"/>
            </w:pPr>
            <w:r>
              <w:t xml:space="preserve">5,500</w:t>
            </w:r>
          </w:p>
        </w:tc>
        <w:tc>
          <w:tcPr/>
          <w:p>
            <w:pPr>
              <w:pStyle w:val="Compact"/>
              <w:jc w:val="left"/>
            </w:pPr>
            <w:r>
              <w:t xml:space="preserve">6</w:t>
            </w:r>
          </w:p>
        </w:tc>
        <w:tc>
          <w:tcPr/>
          <w:p>
            <w:pPr>
              <w:pStyle w:val="Compact"/>
              <w:jc w:val="left"/>
            </w:pPr>
            <w:r>
              <w:t xml:space="preserve">33,000.00</w:t>
            </w:r>
          </w:p>
        </w:tc>
      </w:tr>
      <w:tr>
        <w:tc>
          <w:tcPr/>
          <w:p>
            <w:pPr>
              <w:pStyle w:val="Compact"/>
              <w:jc w:val="left"/>
            </w:pPr>
            <w:r>
              <w:t xml:space="preserve">5</w:t>
            </w:r>
          </w:p>
        </w:tc>
        <w:tc>
          <w:tcPr/>
          <w:p>
            <w:pPr>
              <w:pStyle w:val="Compact"/>
              <w:jc w:val="left"/>
            </w:pPr>
            <w:r>
              <w:t xml:space="preserve">Project Manager – Vendor &amp; Subcontractor Coordination. Management of 14 active subcontractor contracts, procurement oversight, and payment milestone verification for the Egypt Cairo commercial district project.</w:t>
            </w:r>
          </w:p>
        </w:tc>
        <w:tc>
          <w:tcPr/>
          <w:p>
            <w:pPr>
              <w:pStyle w:val="Compact"/>
              <w:jc w:val="left"/>
            </w:pPr>
            <w:r>
              <w:t xml:space="preserve">Apr – Jun 2025</w:t>
            </w:r>
          </w:p>
        </w:tc>
        <w:tc>
          <w:tcPr/>
          <w:p>
            <w:pPr>
              <w:pStyle w:val="Compact"/>
              <w:jc w:val="left"/>
            </w:pPr>
            <w:r>
              <w:t xml:space="preserve">9,000</w:t>
            </w:r>
          </w:p>
        </w:tc>
        <w:tc>
          <w:tcPr/>
          <w:p>
            <w:pPr>
              <w:pStyle w:val="Compact"/>
              <w:jc w:val="left"/>
            </w:pPr>
            <w:r>
              <w:t xml:space="preserve">3</w:t>
            </w:r>
          </w:p>
        </w:tc>
        <w:tc>
          <w:tcPr/>
          <w:p>
            <w:pPr>
              <w:pStyle w:val="Compact"/>
              <w:jc w:val="left"/>
            </w:pPr>
            <w:r>
              <w:t xml:space="preserve">27,000.00</w:t>
            </w:r>
          </w:p>
        </w:tc>
      </w:tr>
      <w:tr>
        <w:tc>
          <w:tcPr/>
          <w:p>
            <w:pPr>
              <w:pStyle w:val="Compact"/>
              <w:jc w:val="left"/>
            </w:pPr>
            <w:r>
              <w:t xml:space="preserve">6</w:t>
            </w:r>
          </w:p>
        </w:tc>
        <w:tc>
          <w:tcPr/>
          <w:p>
            <w:pPr>
              <w:pStyle w:val="Compact"/>
              <w:jc w:val="left"/>
            </w:pPr>
            <w:r>
              <w:t xml:space="preserve">Project Manager – Change Order Management &amp; Contract Administration. Review, negotiation, and processing of 23 change orders issued during the project lifecycle. Includes impact analysis on schedule and budget.</w:t>
            </w:r>
          </w:p>
        </w:tc>
        <w:tc>
          <w:tcPr/>
          <w:p>
            <w:pPr>
              <w:pStyle w:val="Compact"/>
              <w:jc w:val="left"/>
            </w:pPr>
            <w:r>
              <w:t xml:space="preserve">Jan – Jun 2025</w:t>
            </w:r>
          </w:p>
        </w:tc>
        <w:tc>
          <w:tcPr/>
          <w:p>
            <w:pPr>
              <w:pStyle w:val="Compact"/>
              <w:jc w:val="left"/>
            </w:pPr>
            <w:r>
              <w:t xml:space="preserve">7,500</w:t>
            </w:r>
          </w:p>
        </w:tc>
        <w:tc>
          <w:tcPr/>
          <w:p>
            <w:pPr>
              <w:pStyle w:val="Compact"/>
              <w:jc w:val="left"/>
            </w:pPr>
            <w:r>
              <w:t xml:space="preserve">6</w:t>
            </w:r>
          </w:p>
        </w:tc>
        <w:tc>
          <w:tcPr/>
          <w:p>
            <w:pPr>
              <w:pStyle w:val="Compact"/>
              <w:jc w:val="left"/>
            </w:pPr>
            <w:r>
              <w:t xml:space="preserve">45,000.00</w:t>
            </w:r>
          </w:p>
        </w:tc>
      </w:tr>
    </w:tbl>
    <w:p>
      <w:pPr>
        <w:pStyle w:val="BodyText"/>
      </w:pPr>
      <w:r>
        <w:t xml:space="preserve">Subtotal (EGP):</w:t>
      </w:r>
      <w:r>
        <w:t xml:space="preserve">457,000.00</w:t>
      </w:r>
    </w:p>
    <w:p>
      <w:pPr>
        <w:pStyle w:val="BodyText"/>
      </w:pPr>
      <w:r>
        <w:t xml:space="preserve">VAT @ 14% (Egypt):</w:t>
      </w:r>
      <w:r>
        <w:t xml:space="preserve">63,980.00</w:t>
      </w:r>
    </w:p>
    <w:p>
      <w:pPr>
        <w:pStyle w:val="BodyText"/>
      </w:pPr>
      <w:r>
        <w:t xml:space="preserve">Withholding Tax @ 1%:</w:t>
      </w:r>
      <w:r>
        <w:t xml:space="preserve">(4,570.00)</w:t>
      </w:r>
    </w:p>
    <w:p>
      <w:pPr>
        <w:pStyle w:val="BodyText"/>
      </w:pPr>
      <w:r>
        <w:t xml:space="preserve">Grand Total (EGP):</w:t>
      </w:r>
      <w:r>
        <w:t xml:space="preserve">516,410.00</w:t>
      </w:r>
    </w:p>
    <w:bookmarkStart w:id="24" w:name="terms-conditions-of-this-invoice"/>
    <w:p>
      <w:pPr>
        <w:pStyle w:val="Heading3"/>
      </w:pPr>
      <w:r>
        <w:t xml:space="preserve">Terms &amp; Conditions of This Invoice</w:t>
      </w:r>
    </w:p>
    <w:p>
      <w:pPr>
        <w:pStyle w:val="FirstParagraph"/>
      </w:pPr>
      <w:r>
        <w:t xml:space="preserve">This Invoice is issued by Nile Apex Consulting Group in accordance with the Master Service Agreement (MSA) dated 05 January 2025 between the parties. All Project Manager services rendered under this engagement are subject to the following terms:</w:t>
      </w:r>
    </w:p>
    <w:p>
      <w:pPr>
        <w:numPr>
          <w:ilvl w:val="0"/>
          <w:numId w:val="1001"/>
        </w:numPr>
        <w:pStyle w:val="Compact"/>
      </w:pPr>
      <w:r>
        <w:t xml:space="preserve">Payment is due within thirty (30) calendar days from the date of this Invoice. Late payments shall accrue interest at a rate of 1.5% per month as stipulated under Egyptian Commercial Law.</w:t>
      </w:r>
    </w:p>
    <w:p>
      <w:pPr>
        <w:numPr>
          <w:ilvl w:val="0"/>
          <w:numId w:val="1001"/>
        </w:numPr>
        <w:pStyle w:val="Compact"/>
      </w:pPr>
      <w:r>
        <w:t xml:space="preserve">All Project Manager deliverables, including project plans, risk registers, QA reports, and executive presentations, remain the intellectual property of Nile Apex Consulting Group until full payment of this Invoice is received.</w:t>
      </w:r>
    </w:p>
    <w:p>
      <w:pPr>
        <w:numPr>
          <w:ilvl w:val="0"/>
          <w:numId w:val="1001"/>
        </w:numPr>
        <w:pStyle w:val="Compact"/>
      </w:pPr>
      <w:r>
        <w:t xml:space="preserve">The Project Manager services described herein were performed in compliance with all applicable Egyptian labor regulations, professional licensing requirements, and the Egyptian Project Management Institute (EPMI) code of conduct.</w:t>
      </w:r>
    </w:p>
    <w:p>
      <w:pPr>
        <w:numPr>
          <w:ilvl w:val="0"/>
          <w:numId w:val="1001"/>
        </w:numPr>
        <w:pStyle w:val="Compact"/>
      </w:pPr>
      <w:r>
        <w:t xml:space="preserve">Any disputes arising from this Invoice shall be resolved through arbitration in Cairo, Egypt, in accordance with the rules of the Egyptian Arbitration Center. The governing law of this Invoice and the underlying services is the law of the Arab Republic of Egypt.</w:t>
      </w:r>
    </w:p>
    <w:p>
      <w:pPr>
        <w:numPr>
          <w:ilvl w:val="0"/>
          <w:numId w:val="1001"/>
        </w:numPr>
        <w:pStyle w:val="Compact"/>
      </w:pPr>
      <w:r>
        <w:t xml:space="preserve">This Invoice constitutes a final and binding statement of charges for the Project Manager services rendered during the period specified. No additional charges shall be incurred beyond the amounts stated herein unless a written change order is executed by both parties.</w:t>
      </w:r>
    </w:p>
    <w:p>
      <w:pPr>
        <w:numPr>
          <w:ilvl w:val="0"/>
          <w:numId w:val="1001"/>
        </w:numPr>
        <w:pStyle w:val="Compact"/>
      </w:pPr>
      <w:r>
        <w:t xml:space="preserve">The client acknowledges that the Project Manager engagement in Egypt Cairo has been completed to the satisfaction of both parties, and this Invoice represents the final settlement for all services rendered under Project Reference PM-EGY-2025-018.</w:t>
      </w:r>
    </w:p>
    <w:bookmarkEnd w:id="24"/>
    <w:bookmarkStart w:id="25" w:name="payment-instructions"/>
    <w:p>
      <w:pPr>
        <w:pStyle w:val="Heading4"/>
      </w:pPr>
      <w:r>
        <w:t xml:space="preserve">Payment Instructions</w:t>
      </w:r>
    </w:p>
    <w:p>
      <w:pPr>
        <w:pStyle w:val="FirstParagraph"/>
      </w:pPr>
      <w:r>
        <w:rPr>
          <w:bCs/>
          <w:b/>
        </w:rPr>
        <w:t xml:space="preserve">Bank:</w:t>
      </w:r>
      <w:r>
        <w:t xml:space="preserve"> </w:t>
      </w:r>
      <w:r>
        <w:t xml:space="preserve">National Bank of Egypt</w:t>
      </w:r>
    </w:p>
    <w:p>
      <w:pPr>
        <w:pStyle w:val="BodyText"/>
      </w:pPr>
      <w:r>
        <w:rPr>
          <w:bCs/>
          <w:b/>
        </w:rPr>
        <w:t xml:space="preserve">Branch:</w:t>
      </w:r>
      <w:r>
        <w:t xml:space="preserve"> </w:t>
      </w:r>
      <w:r>
        <w:t xml:space="preserve">Tahrir Square, Cairo</w:t>
      </w:r>
    </w:p>
    <w:p>
      <w:pPr>
        <w:pStyle w:val="BodyText"/>
      </w:pPr>
      <w:r>
        <w:rPr>
          <w:bCs/>
          <w:b/>
        </w:rPr>
        <w:t xml:space="preserve">Account Name:</w:t>
      </w:r>
      <w:r>
        <w:t xml:space="preserve"> </w:t>
      </w:r>
      <w:r>
        <w:t xml:space="preserve">Nile Apex Consulting Group</w:t>
      </w:r>
    </w:p>
    <w:p>
      <w:pPr>
        <w:pStyle w:val="BodyText"/>
      </w:pPr>
      <w:r>
        <w:rPr>
          <w:bCs/>
          <w:b/>
        </w:rPr>
        <w:t xml:space="preserve">Account No:</w:t>
      </w:r>
      <w:r>
        <w:t xml:space="preserve"> </w:t>
      </w:r>
      <w:r>
        <w:t xml:space="preserve">100-458-772-331</w:t>
      </w:r>
    </w:p>
    <w:p>
      <w:pPr>
        <w:pStyle w:val="BodyText"/>
      </w:pPr>
      <w:r>
        <w:rPr>
          <w:bCs/>
          <w:b/>
        </w:rPr>
        <w:t xml:space="preserve">SWIFT Code:</w:t>
      </w:r>
      <w:r>
        <w:t xml:space="preserve"> </w:t>
      </w:r>
      <w:r>
        <w:t xml:space="preserve">NBEYEGCA</w:t>
      </w:r>
    </w:p>
    <w:p>
      <w:pPr>
        <w:pStyle w:val="BodyText"/>
      </w:pPr>
      <w:r>
        <w:rPr>
          <w:bCs/>
          <w:b/>
        </w:rPr>
        <w:t xml:space="preserve">IBAN:</w:t>
      </w:r>
      <w:r>
        <w:t xml:space="preserve"> </w:t>
      </w:r>
      <w:r>
        <w:t xml:space="preserve">EG38 NBEY 0000 1004 5877 2331</w:t>
      </w:r>
    </w:p>
    <w:p>
      <w:pPr>
        <w:pStyle w:val="BodyText"/>
      </w:pPr>
      <w:r>
        <w:rPr>
          <w:bCs/>
          <w:b/>
        </w:rPr>
        <w:t xml:space="preserve">Reference:</w:t>
      </w:r>
      <w:r>
        <w:t xml:space="preserve"> </w:t>
      </w:r>
      <w:r>
        <w:t xml:space="preserve">NAC-2025-00472</w:t>
      </w:r>
    </w:p>
    <w:bookmarkEnd w:id="25"/>
    <w:bookmarkStart w:id="26" w:name="authorized-signatory"/>
    <w:p>
      <w:pPr>
        <w:pStyle w:val="Heading4"/>
      </w:pPr>
      <w:r>
        <w:t xml:space="preserve">Authorized Signatory</w:t>
      </w:r>
    </w:p>
    <w:p>
      <w:pPr>
        <w:pStyle w:val="FirstParagraph"/>
      </w:pPr>
      <w:r>
        <w:rPr>
          <w:bCs/>
          <w:b/>
        </w:rPr>
        <w:t xml:space="preserve">Name:</w:t>
      </w:r>
      <w:r>
        <w:t xml:space="preserve"> </w:t>
      </w:r>
      <w:r>
        <w:t xml:space="preserve">Dr. Mona Hassan</w:t>
      </w:r>
    </w:p>
    <w:p>
      <w:pPr>
        <w:pStyle w:val="BodyText"/>
      </w:pPr>
      <w:r>
        <w:rPr>
          <w:bCs/>
          <w:b/>
        </w:rPr>
        <w:t xml:space="preserve">Title:</w:t>
      </w:r>
      <w:r>
        <w:t xml:space="preserve"> </w:t>
      </w:r>
      <w:r>
        <w:t xml:space="preserve">Senior Project Manager &amp; Director</w:t>
      </w:r>
    </w:p>
    <w:p>
      <w:pPr>
        <w:pStyle w:val="BodyText"/>
      </w:pPr>
      <w:r>
        <w:rPr>
          <w:bCs/>
          <w:b/>
        </w:rPr>
        <w:t xml:space="preserve">License No:</w:t>
      </w:r>
      <w:r>
        <w:t xml:space="preserve"> </w:t>
      </w:r>
      <w:r>
        <w:t xml:space="preserve">EPMI-PM-2019-0042</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15 June 2025</w:t>
      </w:r>
    </w:p>
    <w:p>
      <w:pPr>
        <w:pStyle w:val="BodyText"/>
      </w:pPr>
      <w:r>
        <w:rPr>
          <w:bCs/>
          <w:b/>
        </w:rPr>
        <w:t xml:space="preserve">Company Stamp:</w:t>
      </w:r>
      <w:r>
        <w:t xml:space="preserve"> </w:t>
      </w:r>
      <w:r>
        <w:t xml:space="preserve">[Affixed]</w:t>
      </w:r>
    </w:p>
    <w:bookmarkEnd w:id="26"/>
    <w:p>
      <w:pPr>
        <w:pStyle w:val="BodyText"/>
      </w:pPr>
      <w:r>
        <w:t xml:space="preserve">OFFICIAL COMPANY STAMP &amp; SIGNATURE</w:t>
      </w:r>
    </w:p>
    <w:p>
      <w:pPr>
        <w:pStyle w:val="BodyText"/>
      </w:pPr>
      <w:r>
        <w:t xml:space="preserve">Nile Apex Consulting Group – Cairo, Egypt</w:t>
      </w:r>
    </w:p>
    <w:p>
      <w:pPr>
        <w:pStyle w:val="BodyText"/>
      </w:pPr>
      <w:r>
        <w:t xml:space="preserve">This Invoice was generated electronically and is valid without a physical stamp under Egyptian Electronic Transactions Law No. 15 of 2018.</w:t>
      </w:r>
    </w:p>
    <w:p>
      <w:pPr>
        <w:pStyle w:val="BodyText"/>
      </w:pPr>
      <w:r>
        <w:t xml:space="preserve">Nile Apex Consulting Group | 12 Tahrir Square, Cairo, Egypt 11511 | TRN: 512-987-654-321</w:t>
      </w:r>
    </w:p>
    <w:p>
      <w:pPr>
        <w:pStyle w:val="BodyText"/>
      </w:pPr>
      <w:r>
        <w:t xml:space="preserve">For inquiries regarding this Invoice, please contact our billing department at billing@nileapex-eg.com or +20 2 2578 4433 (Mon–Fri, 9:00 AM – 5:00 PM Cairo Time).</w:t>
      </w:r>
    </w:p>
    <w:p>
      <w:pPr>
        <w:pStyle w:val="BodyText"/>
      </w:pPr>
      <w:r>
        <w:t xml:space="preserve">Thank you for your business. We appreciate the opportunity to provide Project Manager services to your organization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Egypt Cairo</dc:title>
  <dc:creator/>
  <dc:language>en</dc:language>
  <cp:keywords/>
  <dcterms:created xsi:type="dcterms:W3CDTF">2026-10-10T01:15:10Z</dcterms:created>
  <dcterms:modified xsi:type="dcterms:W3CDTF">2026-10-10T01:15:10Z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