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Invoice No: IL-JR-2025-00472</w:t>
      </w:r>
    </w:p>
    <w:p>
      <w:pPr>
        <w:pStyle w:val="BodyText"/>
      </w:pPr>
      <w:r>
        <w:t xml:space="preserve">Date of Issue: June 15, 2025</w:t>
      </w:r>
    </w:p>
    <w:p>
      <w:pPr>
        <w:pStyle w:val="BodyText"/>
      </w:pPr>
      <w:r>
        <w:t xml:space="preserve">Due Date: July 15, 2025</w:t>
      </w:r>
    </w:p>
    <w:bookmarkStart w:id="20" w:name="jerusalem-project-management-ltd."/>
    <w:p>
      <w:pPr>
        <w:pStyle w:val="Heading2"/>
      </w:pPr>
      <w:r>
        <w:t xml:space="preserve">Jerusalem Project Management Ltd.</w:t>
      </w:r>
    </w:p>
    <w:p>
      <w:pPr>
        <w:pStyle w:val="FirstParagraph"/>
      </w:pPr>
      <w:r>
        <w:t xml:space="preserve">14 King David Street, Suite 302</w:t>
      </w:r>
    </w:p>
    <w:p>
      <w:pPr>
        <w:pStyle w:val="BodyText"/>
      </w:pPr>
      <w:r>
        <w:t xml:space="preserve">Jerusalem, Israel 9710000</w:t>
      </w:r>
    </w:p>
    <w:p>
      <w:pPr>
        <w:pStyle w:val="BodyText"/>
      </w:pPr>
      <w:r>
        <w:t xml:space="preserve">VAT No: 51-804-221-67</w:t>
      </w:r>
    </w:p>
    <w:p>
      <w:pPr>
        <w:pStyle w:val="BodyText"/>
      </w:pPr>
      <w:r>
        <w:t xml:space="preserve">Tel: +972-2-625-4410</w:t>
      </w:r>
    </w:p>
    <w:p>
      <w:pPr>
        <w:pStyle w:val="BodyText"/>
      </w:pPr>
      <w:r>
        <w:t xml:space="preserve">Email: billing@jerusalem-pm.co.il</w:t>
      </w:r>
    </w:p>
    <w:bookmarkEnd w:id="20"/>
    <w:bookmarkStart w:id="21" w:name="billed-to"/>
    <w:p>
      <w:pPr>
        <w:pStyle w:val="Heading3"/>
      </w:pPr>
      <w:r>
        <w:t xml:space="preserve">Billed To</w:t>
      </w:r>
    </w:p>
    <w:p>
      <w:pPr>
        <w:pStyle w:val="FirstParagraph"/>
      </w:pPr>
      <w:r>
        <w:rPr>
          <w:bCs/>
          <w:b/>
        </w:rPr>
        <w:t xml:space="preserve">Client Name:</w:t>
      </w:r>
      <w:r>
        <w:t xml:space="preserve"> </w:t>
      </w:r>
      <w:r>
        <w:t xml:space="preserve">Levant Construction &amp; Development Group</w:t>
      </w:r>
    </w:p>
    <w:p>
      <w:pPr>
        <w:pStyle w:val="BodyText"/>
      </w:pPr>
      <w:r>
        <w:rPr>
          <w:bCs/>
          <w:b/>
        </w:rPr>
        <w:t xml:space="preserve">Address:</w:t>
      </w:r>
      <w:r>
        <w:t xml:space="preserve"> </w:t>
      </w:r>
      <w:r>
        <w:t xml:space="preserve">22 Herzl Boulevard, 4th Floor</w:t>
      </w:r>
    </w:p>
    <w:p>
      <w:pPr>
        <w:pStyle w:val="BodyText"/>
      </w:pPr>
      <w:r>
        <w:rPr>
          <w:bCs/>
          <w:b/>
        </w:rPr>
        <w:t xml:space="preserve">City:</w:t>
      </w:r>
      <w:r>
        <w:t xml:space="preserve"> </w:t>
      </w:r>
      <w:r>
        <w:t xml:space="preserve">Jerusalem, Israel 9750000</w:t>
      </w:r>
    </w:p>
    <w:p>
      <w:pPr>
        <w:pStyle w:val="BodyText"/>
      </w:pPr>
      <w:r>
        <w:rPr>
          <w:bCs/>
          <w:b/>
        </w:rPr>
        <w:t xml:space="preserve">Contact:</w:t>
      </w:r>
      <w:r>
        <w:t xml:space="preserve"> </w:t>
      </w:r>
      <w:r>
        <w:t xml:space="preserve">Mr. David Ben-Ari, Director of Operations</w:t>
      </w:r>
    </w:p>
    <w:p>
      <w:pPr>
        <w:pStyle w:val="BodyText"/>
      </w:pPr>
      <w:r>
        <w:rPr>
          <w:bCs/>
          <w:b/>
        </w:rPr>
        <w:t xml:space="preserve">Email:</w:t>
      </w:r>
      <w:r>
        <w:t xml:space="preserve"> </w:t>
      </w:r>
      <w:r>
        <w:t xml:space="preserve">d.benari@levantcd.co.il</w:t>
      </w:r>
    </w:p>
    <w:bookmarkEnd w:id="21"/>
    <w:bookmarkStart w:id="22" w:name="project-reference"/>
    <w:p>
      <w:pPr>
        <w:pStyle w:val="Heading3"/>
      </w:pPr>
      <w:r>
        <w:t xml:space="preserve">Project Reference</w:t>
      </w:r>
    </w:p>
    <w:p>
      <w:pPr>
        <w:pStyle w:val="FirstParagraph"/>
      </w:pPr>
      <w:r>
        <w:rPr>
          <w:bCs/>
          <w:b/>
        </w:rPr>
        <w:t xml:space="preserve">Project:</w:t>
      </w:r>
      <w:r>
        <w:t xml:space="preserve"> </w:t>
      </w:r>
      <w:r>
        <w:t xml:space="preserve">Old City Infrastructure Renewal Phase II</w:t>
      </w:r>
    </w:p>
    <w:p>
      <w:pPr>
        <w:pStyle w:val="BodyText"/>
      </w:pPr>
      <w:r>
        <w:rPr>
          <w:bCs/>
          <w:b/>
        </w:rPr>
        <w:t xml:space="preserve">Project Manager:</w:t>
      </w:r>
      <w:r>
        <w:t xml:space="preserve"> </w:t>
      </w:r>
      <w:r>
        <w:t xml:space="preserve">Ms. Rachel Goldstein, PMP</w:t>
      </w:r>
    </w:p>
    <w:p>
      <w:pPr>
        <w:pStyle w:val="BodyText"/>
      </w:pPr>
      <w:r>
        <w:rPr>
          <w:bCs/>
          <w:b/>
        </w:rPr>
        <w:t xml:space="preserve">Contract No:</w:t>
      </w:r>
      <w:r>
        <w:t xml:space="preserve"> </w:t>
      </w:r>
      <w:r>
        <w:t xml:space="preserve">JPM-2025-0031</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Israel Jerusalem, Old City District</w:t>
      </w:r>
    </w:p>
    <w:bookmarkEnd w:id="22"/>
    <w:bookmarkStart w:id="25" w:name="Xb9438d134e5fac968570b80ba02d58a9d10cb3a"/>
    <w:p>
      <w:pPr>
        <w:pStyle w:val="Heading2"/>
      </w:pPr>
      <w:r>
        <w:t xml:space="preserve">Invoice Line Items – Project Manager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(ILS/hr)</w:t>
            </w:r>
          </w:p>
        </w:tc>
        <w:tc>
          <w:tcPr/>
          <w:p>
            <w:pPr>
              <w:pStyle w:val="Compact"/>
              <w:jc w:val="left"/>
            </w:pPr>
            <w:r>
              <w:t xml:space="preserve">Hours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Project Manager – Overall Project Planning &amp; Scheduling for Old City Infrastructure Renewal</w:t>
            </w:r>
          </w:p>
        </w:tc>
        <w:tc>
          <w:tcPr/>
          <w:p>
            <w:pPr>
              <w:pStyle w:val="Compact"/>
              <w:jc w:val="left"/>
            </w:pPr>
            <w:r>
              <w:t xml:space="preserve">1,850</w:t>
            </w:r>
          </w:p>
        </w:tc>
        <w:tc>
          <w:tcPr/>
          <w:p>
            <w:pPr>
              <w:pStyle w:val="Compact"/>
              <w:jc w:val="left"/>
            </w:pPr>
            <w:r>
              <w:t xml:space="preserve">40</w:t>
            </w:r>
          </w:p>
        </w:tc>
        <w:tc>
          <w:tcPr/>
          <w:p>
            <w:pPr>
              <w:pStyle w:val="Compact"/>
              <w:jc w:val="left"/>
            </w:pPr>
            <w:r>
              <w:t xml:space="preserve">74,000.00</w:t>
            </w:r>
          </w:p>
        </w:tc>
        <w:tc>
          <w:tcPr/>
          <w:p>
            <w:pPr>
              <w:pStyle w:val="Compact"/>
              <w:jc w:val="left"/>
            </w:pPr>
            <w:r>
              <w:t xml:space="preserve">Full-time allocation, Israel Jerusalem site</w:t>
            </w:r>
          </w:p>
        </w:tc>
      </w:tr>
      <w:tr>
        <w:tc>
          <w:tcPr/>
          <w:p>
            <w:pPr>
              <w:pStyle w:val="Compact"/>
              <w:jc w:val="left"/>
            </w:pPr>
            <w:r>
              <w:t xml:space="preserve">2</w:t>
            </w:r>
          </w:p>
        </w:tc>
        <w:tc>
          <w:tcPr/>
          <w:p>
            <w:pPr>
              <w:pStyle w:val="Compact"/>
              <w:jc w:val="left"/>
            </w:pPr>
            <w:r>
              <w:t xml:space="preserve">Project Manager – Stakeholder Coordination with Jerusalem Municipality &amp; Heritage Authority</w:t>
            </w:r>
          </w:p>
        </w:tc>
        <w:tc>
          <w:tcPr/>
          <w:p>
            <w:pPr>
              <w:pStyle w:val="Compact"/>
              <w:jc w:val="left"/>
            </w:pPr>
            <w:r>
              <w:t xml:space="preserve">1,850</w:t>
            </w:r>
          </w:p>
        </w:tc>
        <w:tc>
          <w:tcPr/>
          <w:p>
            <w:pPr>
              <w:pStyle w:val="Compact"/>
              <w:jc w:val="left"/>
            </w:pPr>
            <w:r>
              <w:t xml:space="preserve">24</w:t>
            </w:r>
          </w:p>
        </w:tc>
        <w:tc>
          <w:tcPr/>
          <w:p>
            <w:pPr>
              <w:pStyle w:val="Compact"/>
              <w:jc w:val="left"/>
            </w:pPr>
            <w:r>
              <w:t xml:space="preserve">44,400.00</w:t>
            </w:r>
          </w:p>
        </w:tc>
        <w:tc>
          <w:tcPr/>
          <w:p>
            <w:pPr>
              <w:pStyle w:val="Compact"/>
              <w:jc w:val="left"/>
            </w:pPr>
            <w:r>
              <w:t xml:space="preserve">Regulatory compliance meetings</w:t>
            </w:r>
          </w:p>
        </w:tc>
      </w:tr>
      <w:tr>
        <w:tc>
          <w:tcPr/>
          <w:p>
            <w:pPr>
              <w:pStyle w:val="Compact"/>
              <w:jc w:val="left"/>
            </w:pPr>
            <w:r>
              <w:t xml:space="preserve">3</w:t>
            </w:r>
          </w:p>
        </w:tc>
        <w:tc>
          <w:tcPr/>
          <w:p>
            <w:pPr>
              <w:pStyle w:val="Compact"/>
              <w:jc w:val="left"/>
            </w:pPr>
            <w:r>
              <w:t xml:space="preserve">Project Manager – Risk Assessment &amp; Mitigation Strategy Development</w:t>
            </w:r>
          </w:p>
        </w:tc>
        <w:tc>
          <w:tcPr/>
          <w:p>
            <w:pPr>
              <w:pStyle w:val="Compact"/>
              <w:jc w:val="left"/>
            </w:pPr>
            <w:r>
              <w:t xml:space="preserve">2,100</w:t>
            </w:r>
          </w:p>
        </w:tc>
        <w:tc>
          <w:tcPr/>
          <w:p>
            <w:pPr>
              <w:pStyle w:val="Compact"/>
              <w:jc w:val="left"/>
            </w:pPr>
            <w:r>
              <w:t xml:space="preserve">16</w:t>
            </w:r>
          </w:p>
        </w:tc>
        <w:tc>
          <w:tcPr/>
          <w:p>
            <w:pPr>
              <w:pStyle w:val="Compact"/>
              <w:jc w:val="left"/>
            </w:pPr>
            <w:r>
              <w:t xml:space="preserve">33,600.00</w:t>
            </w:r>
          </w:p>
        </w:tc>
        <w:tc>
          <w:tcPr/>
          <w:p>
            <w:pPr>
              <w:pStyle w:val="Compact"/>
              <w:jc w:val="left"/>
            </w:pPr>
            <w:r>
              <w:t xml:space="preserve">Senior-level PM consultation</w:t>
            </w:r>
          </w:p>
        </w:tc>
      </w:tr>
      <w:tr>
        <w:tc>
          <w:tcPr/>
          <w:p>
            <w:pPr>
              <w:pStyle w:val="Compact"/>
              <w:jc w:val="left"/>
            </w:pPr>
            <w:r>
              <w:t xml:space="preserve">4</w:t>
            </w:r>
          </w:p>
        </w:tc>
        <w:tc>
          <w:tcPr/>
          <w:p>
            <w:pPr>
              <w:pStyle w:val="Compact"/>
              <w:jc w:val="left"/>
            </w:pPr>
            <w:r>
              <w:t xml:space="preserve">Project Manager – Budget Monitoring, Cost Control &amp; Financial Reporting</w:t>
            </w:r>
          </w:p>
        </w:tc>
        <w:tc>
          <w:tcPr/>
          <w:p>
            <w:pPr>
              <w:pStyle w:val="Compact"/>
              <w:jc w:val="left"/>
            </w:pPr>
            <w:r>
              <w:t xml:space="preserve">1,850</w:t>
            </w:r>
          </w:p>
        </w:tc>
        <w:tc>
          <w:tcPr/>
          <w:p>
            <w:pPr>
              <w:pStyle w:val="Compact"/>
              <w:jc w:val="left"/>
            </w:pPr>
            <w:r>
              <w:t xml:space="preserve">20</w:t>
            </w:r>
          </w:p>
        </w:tc>
        <w:tc>
          <w:tcPr/>
          <w:p>
            <w:pPr>
              <w:pStyle w:val="Compact"/>
              <w:jc w:val="left"/>
            </w:pPr>
            <w:r>
              <w:t xml:space="preserve">37,000.00</w:t>
            </w:r>
          </w:p>
        </w:tc>
        <w:tc>
          <w:tcPr/>
          <w:p>
            <w:pPr>
              <w:pStyle w:val="Compact"/>
              <w:jc w:val="left"/>
            </w:pPr>
            <w:r>
              <w:t xml:space="preserve">Monthly variance analysis included</w:t>
            </w:r>
          </w:p>
        </w:tc>
      </w:tr>
      <w:tr>
        <w:tc>
          <w:tcPr/>
          <w:p>
            <w:pPr>
              <w:pStyle w:val="Compact"/>
              <w:jc w:val="left"/>
            </w:pPr>
            <w:r>
              <w:t xml:space="preserve">5</w:t>
            </w:r>
          </w:p>
        </w:tc>
        <w:tc>
          <w:tcPr/>
          <w:p>
            <w:pPr>
              <w:pStyle w:val="Compact"/>
              <w:jc w:val="left"/>
            </w:pPr>
            <w:r>
              <w:t xml:space="preserve">Project Manager – Quality Assurance Oversight &amp; Site Inspections</w:t>
            </w:r>
          </w:p>
        </w:tc>
        <w:tc>
          <w:tcPr/>
          <w:p>
            <w:pPr>
              <w:pStyle w:val="Compact"/>
              <w:jc w:val="left"/>
            </w:pPr>
            <w:r>
              <w:t xml:space="preserve">1,850</w:t>
            </w:r>
          </w:p>
        </w:tc>
        <w:tc>
          <w:tcPr/>
          <w:p>
            <w:pPr>
              <w:pStyle w:val="Compact"/>
              <w:jc w:val="left"/>
            </w:pPr>
            <w:r>
              <w:t xml:space="preserve">18</w:t>
            </w:r>
          </w:p>
        </w:tc>
        <w:tc>
          <w:tcPr/>
          <w:p>
            <w:pPr>
              <w:pStyle w:val="Compact"/>
              <w:jc w:val="left"/>
            </w:pPr>
            <w:r>
              <w:t xml:space="preserve">33,300.00</w:t>
            </w:r>
          </w:p>
        </w:tc>
        <w:tc>
          <w:tcPr/>
          <w:p>
            <w:pPr>
              <w:pStyle w:val="Compact"/>
              <w:jc w:val="left"/>
            </w:pPr>
            <w:r>
              <w:t xml:space="preserve">On-site, Israel Jerusalem district</w:t>
            </w:r>
          </w:p>
        </w:tc>
      </w:tr>
      <w:tr>
        <w:tc>
          <w:tcPr/>
          <w:p>
            <w:pPr>
              <w:pStyle w:val="Compact"/>
              <w:jc w:val="left"/>
            </w:pPr>
            <w:r>
              <w:t xml:space="preserve">6</w:t>
            </w:r>
          </w:p>
        </w:tc>
        <w:tc>
          <w:tcPr/>
          <w:p>
            <w:pPr>
              <w:pStyle w:val="Compact"/>
              <w:jc w:val="left"/>
            </w:pPr>
            <w:r>
              <w:t xml:space="preserve">Project Manager – Subcontractor Management &amp; Vendor Coordination</w:t>
            </w:r>
          </w:p>
        </w:tc>
        <w:tc>
          <w:tcPr/>
          <w:p>
            <w:pPr>
              <w:pStyle w:val="Compact"/>
              <w:jc w:val="left"/>
            </w:pPr>
            <w:r>
              <w:t xml:space="preserve">1,850</w:t>
            </w:r>
          </w:p>
        </w:tc>
        <w:tc>
          <w:tcPr/>
          <w:p>
            <w:pPr>
              <w:pStyle w:val="Compact"/>
              <w:jc w:val="left"/>
            </w:pPr>
            <w:r>
              <w:t xml:space="preserve">14</w:t>
            </w:r>
          </w:p>
        </w:tc>
        <w:tc>
          <w:tcPr/>
          <w:p>
            <w:pPr>
              <w:pStyle w:val="Compact"/>
              <w:jc w:val="left"/>
            </w:pPr>
            <w:r>
              <w:t xml:space="preserve">25,900.00</w:t>
            </w:r>
          </w:p>
        </w:tc>
        <w:tc>
          <w:tcPr/>
          <w:p>
            <w:pPr>
              <w:pStyle w:val="Compact"/>
              <w:jc w:val="left"/>
            </w:pPr>
            <w:r>
              <w:t xml:space="preserve">Includes 3 vendor negotiations</w:t>
            </w:r>
          </w:p>
        </w:tc>
      </w:tr>
      <w:tr>
        <w:tc>
          <w:tcPr/>
          <w:p>
            <w:pPr>
              <w:pStyle w:val="Compact"/>
              <w:jc w:val="left"/>
            </w:pPr>
            <w:r>
              <w:t xml:space="preserve">7</w:t>
            </w:r>
          </w:p>
        </w:tc>
        <w:tc>
          <w:tcPr/>
          <w:p>
            <w:pPr>
              <w:pStyle w:val="Compact"/>
              <w:jc w:val="left"/>
            </w:pPr>
            <w:r>
              <w:t xml:space="preserve">Project Manager – Progress Reporting &amp; Client Presentation (Monthly)</w:t>
            </w:r>
          </w:p>
        </w:tc>
        <w:tc>
          <w:tcPr/>
          <w:p>
            <w:pPr>
              <w:pStyle w:val="Compact"/>
              <w:jc w:val="left"/>
            </w:pPr>
            <w:r>
              <w:t xml:space="preserve">2,100</w:t>
            </w:r>
          </w:p>
        </w:tc>
        <w:tc>
          <w:tcPr/>
          <w:p>
            <w:pPr>
              <w:pStyle w:val="Compact"/>
              <w:jc w:val="left"/>
            </w:pPr>
            <w:r>
              <w:t xml:space="preserve">8</w:t>
            </w:r>
          </w:p>
        </w:tc>
        <w:tc>
          <w:tcPr/>
          <w:p>
            <w:pPr>
              <w:pStyle w:val="Compact"/>
              <w:jc w:val="left"/>
            </w:pPr>
            <w:r>
              <w:t xml:space="preserve">16,800.00</w:t>
            </w:r>
          </w:p>
        </w:tc>
        <w:tc>
          <w:tcPr/>
          <w:p>
            <w:pPr>
              <w:pStyle w:val="Compact"/>
              <w:jc w:val="left"/>
            </w:pPr>
            <w:r>
              <w:t xml:space="preserve">Executive summary delivered to Levant CD</w:t>
            </w:r>
          </w:p>
        </w:tc>
      </w:tr>
      <w:tr>
        <w:tc>
          <w:tcPr/>
          <w:p>
            <w:pPr>
              <w:pStyle w:val="Compact"/>
              <w:jc w:val="left"/>
            </w:pPr>
            <w:r>
              <w:t xml:space="preserve">8</w:t>
            </w:r>
          </w:p>
        </w:tc>
        <w:tc>
          <w:tcPr/>
          <w:p>
            <w:pPr>
              <w:pStyle w:val="Compact"/>
              <w:jc w:val="left"/>
            </w:pPr>
            <w:r>
              <w:t xml:space="preserve">Project Manager – Change Order Processing &amp; Scope Management</w:t>
            </w:r>
          </w:p>
        </w:tc>
        <w:tc>
          <w:tcPr/>
          <w:p>
            <w:pPr>
              <w:pStyle w:val="Compact"/>
              <w:jc w:val="left"/>
            </w:pPr>
            <w:r>
              <w:t xml:space="preserve">1,850</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2 approved change orders processed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(ILS)</w:t>
            </w:r>
          </w:p>
        </w:tc>
        <w:tc>
          <w:tcPr/>
          <w:p>
            <w:pPr>
              <w:pStyle w:val="Compact"/>
              <w:jc w:val="right"/>
            </w:pPr>
            <w:r>
              <w:t xml:space="preserve">283,500.00</w:t>
            </w:r>
          </w:p>
        </w:tc>
      </w:tr>
      <w:tr>
        <w:tc>
          <w:tcPr/>
          <w:p>
            <w:pPr>
              <w:pStyle w:val="Compact"/>
              <w:jc w:val="left"/>
            </w:pPr>
            <w:r>
              <w:t xml:space="preserve">VAT @ 18% (Israel)</w:t>
            </w:r>
          </w:p>
        </w:tc>
        <w:tc>
          <w:tcPr/>
          <w:p>
            <w:pPr>
              <w:pStyle w:val="Compact"/>
              <w:jc w:val="right"/>
            </w:pPr>
            <w:r>
              <w:t xml:space="preserve">51,030.00</w:t>
            </w:r>
          </w:p>
        </w:tc>
      </w:tr>
      <w:tr>
        <w:tc>
          <w:tcPr/>
          <w:p>
            <w:pPr>
              <w:pStyle w:val="Compact"/>
              <w:jc w:val="left"/>
            </w:pPr>
            <w:r>
              <w:t xml:space="preserve">Discount – Long-term Contract (5%)</w:t>
            </w:r>
          </w:p>
        </w:tc>
        <w:tc>
          <w:tcPr/>
          <w:p>
            <w:pPr>
              <w:pStyle w:val="Compact"/>
              <w:jc w:val="right"/>
            </w:pPr>
            <w:r>
              <w:t xml:space="preserve">-14,175.00</w:t>
            </w:r>
          </w:p>
        </w:tc>
      </w:tr>
      <w:tr>
        <w:tc>
          <w:tcPr/>
          <w:p>
            <w:pPr>
              <w:pStyle w:val="Compact"/>
              <w:jc w:val="left"/>
            </w:pPr>
            <w:r>
              <w:t xml:space="preserve">TOTAL DUE (ILS)</w:t>
            </w:r>
          </w:p>
        </w:tc>
        <w:tc>
          <w:tcPr/>
          <w:p>
            <w:pPr>
              <w:pStyle w:val="Compact"/>
              <w:jc w:val="right"/>
            </w:pPr>
            <w:r>
              <w:t xml:space="preserve">320,355.00</w:t>
            </w:r>
          </w:p>
        </w:tc>
      </w:tr>
    </w:tbl>
    <w:p>
      <w:pPr>
        <w:pStyle w:val="BodyText"/>
      </w:pPr>
      <w:r>
        <w:t xml:space="preserve">VAT is calculated in accordance with the Israel Tax Authority regulations. This invoice is issued under the VAT Law, 5711-1975, as amended. The Project Manager services rendered in Israel Jerusalem are subject to the standard 18% VAT rate applicable to professional consulting services.</w:t>
      </w:r>
    </w:p>
    <w:bookmarkStart w:id="23" w:name="payment-instructions"/>
    <w:p>
      <w:pPr>
        <w:pStyle w:val="Heading3"/>
      </w:pPr>
      <w:r>
        <w:t xml:space="preserve">Payment Instructions</w:t>
      </w:r>
    </w:p>
    <w:p>
      <w:pPr>
        <w:pStyle w:val="FirstParagraph"/>
      </w:pPr>
      <w:r>
        <w:rPr>
          <w:bCs/>
          <w:b/>
        </w:rPr>
        <w:t xml:space="preserve">Bank:</w:t>
      </w:r>
      <w:r>
        <w:t xml:space="preserve"> </w:t>
      </w:r>
      <w:r>
        <w:t xml:space="preserve">Bank Hapoalim, Jerusalem Branch</w:t>
      </w:r>
    </w:p>
    <w:p>
      <w:pPr>
        <w:pStyle w:val="BodyText"/>
      </w:pPr>
      <w:r>
        <w:rPr>
          <w:bCs/>
          <w:b/>
        </w:rPr>
        <w:t xml:space="preserve">Account Name:</w:t>
      </w:r>
      <w:r>
        <w:t xml:space="preserve"> </w:t>
      </w:r>
      <w:r>
        <w:t xml:space="preserve">Jerusalem Project Management Ltd.</w:t>
      </w:r>
    </w:p>
    <w:p>
      <w:pPr>
        <w:pStyle w:val="BodyText"/>
      </w:pPr>
      <w:r>
        <w:rPr>
          <w:bCs/>
          <w:b/>
        </w:rPr>
        <w:t xml:space="preserve">IBAN:</w:t>
      </w:r>
      <w:r>
        <w:t xml:space="preserve"> </w:t>
      </w:r>
      <w:r>
        <w:t xml:space="preserve">IL15 0100 0000 0000 0000 0000 0</w:t>
      </w:r>
    </w:p>
    <w:p>
      <w:pPr>
        <w:pStyle w:val="BodyText"/>
      </w:pPr>
      <w:r>
        <w:rPr>
          <w:bCs/>
          <w:b/>
        </w:rPr>
        <w:t xml:space="preserve">Reference:</w:t>
      </w:r>
      <w:r>
        <w:t xml:space="preserve"> </w:t>
      </w:r>
      <w:r>
        <w:t xml:space="preserve">Please cite Invoice No. IL-JR-2025-00472 in all payment communications.</w:t>
      </w:r>
    </w:p>
    <w:p>
      <w:pPr>
        <w:pStyle w:val="BodyText"/>
      </w:pPr>
      <w:r>
        <w:rPr>
          <w:bCs/>
          <w:b/>
        </w:rPr>
        <w:t xml:space="preserve">Payment Method:</w:t>
      </w:r>
      <w:r>
        <w:t xml:space="preserve"> </w:t>
      </w:r>
      <w:r>
        <w:t xml:space="preserve">Bank Transfer (preferred), Cheque, or Credit Card (Visa/Mastercard)</w:t>
      </w:r>
    </w:p>
    <w:p>
      <w:pPr>
        <w:pStyle w:val="BodyText"/>
      </w:pPr>
      <w:r>
        <w:rPr>
          <w:bCs/>
          <w:b/>
        </w:rPr>
        <w:t xml:space="preserve">Payment Terms:</w:t>
      </w:r>
      <w:r>
        <w:t xml:space="preserve"> </w:t>
      </w:r>
      <w:r>
        <w:t xml:space="preserve">Net 30 days from the date of this invoice. Late payments will incur a penalty of 1.5% per month as per Israeli commercial law.</w:t>
      </w:r>
    </w:p>
    <w:bookmarkEnd w:id="23"/>
    <w:bookmarkStart w:id="24" w:name="Xf2dae669a75500d01c51b3e2a6c5e2700ad341d"/>
    <w:p>
      <w:pPr>
        <w:pStyle w:val="Heading3"/>
      </w:pPr>
      <w:r>
        <w:t xml:space="preserve">Terms &amp; Conditions – Project Manager Services Invoice</w:t>
      </w:r>
    </w:p>
    <w:p>
      <w:pPr>
        <w:numPr>
          <w:ilvl w:val="0"/>
          <w:numId w:val="1001"/>
        </w:numPr>
        <w:pStyle w:val="Compact"/>
      </w:pPr>
      <w:r>
        <w:t xml:space="preserve">This invoice covers professional Project Manager services rendered by Ms. Rachel Goldstein, PMP, on behalf of Jerusalem Project Management Ltd. for the period of May 1 through May 31, 2025, at the project site located in Israel Jerusalem.</w:t>
      </w:r>
    </w:p>
    <w:p>
      <w:pPr>
        <w:numPr>
          <w:ilvl w:val="0"/>
          <w:numId w:val="1001"/>
        </w:numPr>
        <w:pStyle w:val="Compact"/>
      </w:pPr>
      <w:r>
        <w:t xml:space="preserve">All Project Manager deliverables, including but not limited to project schedules, risk registers, budget reports, and progress presentations, have been accepted by the client in writing as of May 30, 2025.</w:t>
      </w:r>
    </w:p>
    <w:p>
      <w:pPr>
        <w:numPr>
          <w:ilvl w:val="0"/>
          <w:numId w:val="1001"/>
        </w:numPr>
        <w:pStyle w:val="Compact"/>
      </w:pPr>
      <w:r>
        <w:t xml:space="preserve">This invoice is governed by the laws of the State of Israel. Any disputes arising from this invoice or the underlying Project Manager engagement shall be subject to the exclusive jurisdiction of the courts in Jerusalem, Israel.</w:t>
      </w:r>
    </w:p>
    <w:p>
      <w:pPr>
        <w:numPr>
          <w:ilvl w:val="0"/>
          <w:numId w:val="1001"/>
        </w:numPr>
        <w:pStyle w:val="Compact"/>
      </w:pPr>
      <w:r>
        <w:t xml:space="preserve">The Project Manager retains all intellectual property rights over methodologies, templates, and proprietary frameworks developed during the course of this engagement. The client receives a non-exclusive license to use deliverables solely for the purpose of the Old City Infrastructure Renewal project in Israel Jerusalem.</w:t>
      </w:r>
    </w:p>
    <w:p>
      <w:pPr>
        <w:numPr>
          <w:ilvl w:val="0"/>
          <w:numId w:val="1001"/>
        </w:numPr>
        <w:pStyle w:val="Compact"/>
      </w:pPr>
      <w:r>
        <w:t xml:space="preserve">Payment is due within thirty (30) calendar days of the invoice date. Failure to remit payment by the due date of July 15, 2025, will result in the suspension of all ongoing Project Manager services until the outstanding balance is settled in full.</w:t>
      </w:r>
    </w:p>
    <w:p>
      <w:pPr>
        <w:numPr>
          <w:ilvl w:val="0"/>
          <w:numId w:val="1001"/>
        </w:numPr>
        <w:pStyle w:val="Compact"/>
      </w:pPr>
      <w:r>
        <w:t xml:space="preserve">This invoice is valid for a period of ninety (90) days from the date of issue. After this period, the Project Manager reserves the right to re-evaluate rates and issue a revised invoice reflecting any applicable cost adjustments.</w:t>
      </w:r>
    </w:p>
    <w:p>
      <w:pPr>
        <w:numPr>
          <w:ilvl w:val="0"/>
          <w:numId w:val="1001"/>
        </w:numPr>
        <w:pStyle w:val="Compact"/>
      </w:pPr>
      <w:r>
        <w:t xml:space="preserve">All services described in this invoice were performed in compliance with the Israel Construction Industry Law, 5728-1968, and all applicable municipal regulations of the Jerusalem Municipality.</w:t>
      </w:r>
    </w:p>
    <w:bookmarkEnd w:id="24"/>
    <w:p>
      <w:pPr>
        <w:pStyle w:val="FirstParagraph"/>
      </w:pPr>
      <w:r>
        <w:rPr>
          <w:bCs/>
          <w:b/>
        </w:rPr>
        <w:t xml:space="preserve">Jerusalem Project Management Ltd.</w:t>
      </w:r>
      <w:r>
        <w:t xml:space="preserve"> </w:t>
      </w:r>
      <w:r>
        <w:t xml:space="preserve">| 14 King David Street, Suite 302, Jerusalem, Israel 9710000</w:t>
      </w:r>
    </w:p>
    <w:p>
      <w:pPr>
        <w:pStyle w:val="BodyText"/>
      </w:pPr>
      <w:r>
        <w:t xml:space="preserve">Registered in the Israel Companies Registrar | Company No: 51-804-221-67 | VAT: 51-804-221-67</w:t>
      </w:r>
    </w:p>
    <w:p>
      <w:pPr>
        <w:pStyle w:val="BodyText"/>
      </w:pPr>
      <w:r>
        <w:t xml:space="preserve">This invoice was generated electronically and is valid without a physical signature. For queries regarding this invoice or the Project Manager engagement, please contact billing@jerusalem-pm.co.il or call +972-2-625-4410.</w:t>
      </w:r>
    </w:p>
    <w:p>
      <w:pPr>
        <w:pStyle w:val="BodyText"/>
      </w:pPr>
      <w:r>
        <w:t xml:space="preserve">Thank you for your business. We appreciate the opportunity to provide Project Manager expertise for your project in Israel Jerusalem.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Israel Jerusalem</dc:title>
  <dc:creator/>
  <dc:language>en</dc:language>
  <cp:keywords/>
  <dcterms:created xsi:type="dcterms:W3CDTF">2026-10-10T02:30:21Z</dcterms:created>
  <dcterms:modified xsi:type="dcterms:W3CDTF">2026-10-10T02:30:21Z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