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project-solutions-llp"/>
    <w:p>
      <w:pPr>
        <w:pStyle w:val="Heading1"/>
      </w:pPr>
      <w:r>
        <w:t xml:space="preserve">Almaty Project Solutions LLP</w:t>
      </w:r>
    </w:p>
    <w:p>
      <w:pPr>
        <w:pStyle w:val="FirstParagraph"/>
      </w:pPr>
      <w:r>
        <w:t xml:space="preserve">128 Abai Avenue, Office 45, 5th Floor</w:t>
      </w:r>
    </w:p>
    <w:p>
      <w:pPr>
        <w:pStyle w:val="BodyText"/>
      </w:pPr>
      <w:r>
        <w:t xml:space="preserve">Kazakhstan Almaty, 050040</w:t>
      </w:r>
    </w:p>
    <w:p>
      <w:pPr>
        <w:pStyle w:val="BodyText"/>
      </w:pPr>
      <w:r>
        <w:t xml:space="preserve">Tax ID (BIN): 990456781234</w:t>
      </w:r>
    </w:p>
    <w:p>
      <w:pPr>
        <w:pStyle w:val="BodyText"/>
      </w:pPr>
      <w:r>
        <w:t xml:space="preserve">Phone: +7 (727) 312-45-67</w:t>
      </w:r>
    </w:p>
    <w:p>
      <w:pPr>
        <w:pStyle w:val="BodyText"/>
      </w:pPr>
      <w:r>
        <w:t xml:space="preserve">Email: billing@almatyprojectsolutions.kz</w:t>
      </w:r>
    </w:p>
    <w:bookmarkEnd w:id="20"/>
    <w:bookmarkStart w:id="21" w:name="invoice"/>
    <w:p>
      <w:pPr>
        <w:pStyle w:val="Heading2"/>
      </w:pPr>
      <w:r>
        <w:t xml:space="preserve">INVOICE</w:t>
      </w:r>
    </w:p>
    <w:p>
      <w:pPr>
        <w:pStyle w:val="FirstParagraph"/>
      </w:pPr>
      <w:r>
        <w:t xml:space="preserve">Invoice No: APS-2025-0047</w:t>
      </w:r>
    </w:p>
    <w:p>
      <w:pPr>
        <w:pStyle w:val="BodyText"/>
      </w:pPr>
      <w:r>
        <w:t xml:space="preserve">Date Issued: June 15, 2025</w:t>
      </w:r>
    </w:p>
    <w:p>
      <w:pPr>
        <w:pStyle w:val="BodyText"/>
      </w:pPr>
      <w:r>
        <w:t xml:space="preserve">Due Date: July 15, 2025</w:t>
      </w:r>
    </w:p>
    <w:p>
      <w:pPr>
        <w:pStyle w:val="BodyText"/>
      </w:pPr>
      <w:r>
        <w:t xml:space="preserve">Service Period: May 1 – May 31, 2025</w:t>
      </w:r>
    </w:p>
    <w:bookmarkEnd w:id="21"/>
    <w:bookmarkStart w:id="22" w:name="billed-to"/>
    <w:p>
      <w:pPr>
        <w:pStyle w:val="Heading3"/>
      </w:pPr>
      <w:r>
        <w:t xml:space="preserve">Billed To</w:t>
      </w:r>
    </w:p>
    <w:p>
      <w:pPr>
        <w:pStyle w:val="FirstParagraph"/>
      </w:pPr>
      <w:r>
        <w:rPr>
          <w:bCs/>
          <w:b/>
        </w:rPr>
        <w:t xml:space="preserve">Tengri Infrastructure Development JSC</w:t>
      </w:r>
    </w:p>
    <w:p>
      <w:pPr>
        <w:pStyle w:val="BodyText"/>
      </w:pPr>
      <w:r>
        <w:t xml:space="preserve">45 Dostyk Avenue, Building 3</w:t>
      </w:r>
    </w:p>
    <w:p>
      <w:pPr>
        <w:pStyle w:val="BodyText"/>
      </w:pPr>
      <w:r>
        <w:t xml:space="preserve">Kazakhstan Almaty, 050000</w:t>
      </w:r>
    </w:p>
    <w:p>
      <w:pPr>
        <w:pStyle w:val="BodyText"/>
      </w:pPr>
      <w:r>
        <w:t xml:space="preserve">Tax ID (BIN): 990123456789</w:t>
      </w:r>
    </w:p>
    <w:p>
      <w:pPr>
        <w:pStyle w:val="BodyText"/>
      </w:pPr>
      <w:r>
        <w:t xml:space="preserve">Attn: Mr. Daulet Nurlanov, Chief Operations Officer</w:t>
      </w:r>
    </w:p>
    <w:bookmarkEnd w:id="22"/>
    <w:bookmarkStart w:id="23" w:name="invoice-reference"/>
    <w:p>
      <w:pPr>
        <w:pStyle w:val="Heading3"/>
      </w:pPr>
      <w:r>
        <w:t xml:space="preserve">Invoice Reference</w:t>
      </w:r>
    </w:p>
    <w:p>
      <w:pPr>
        <w:pStyle w:val="FirstParagraph"/>
      </w:pPr>
      <w:r>
        <w:t xml:space="preserve">Contract No: TID-PS-2025-012</w:t>
      </w:r>
    </w:p>
    <w:p>
      <w:pPr>
        <w:pStyle w:val="BodyText"/>
      </w:pPr>
      <w:r>
        <w:t xml:space="preserve">Project: Almaty Metro Extension Phase II</w:t>
      </w:r>
    </w:p>
    <w:p>
      <w:pPr>
        <w:pStyle w:val="BodyText"/>
      </w:pPr>
      <w:r>
        <w:t xml:space="preserve">PO Number: PO-2025-0892</w:t>
      </w:r>
    </w:p>
    <w:p>
      <w:pPr>
        <w:pStyle w:val="BodyText"/>
      </w:pPr>
      <w:r>
        <w:t xml:space="preserve">Payment Terms: Net 30 Days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(KZT)</w:t>
            </w:r>
          </w:p>
        </w:tc>
        <w:tc>
          <w:tcPr/>
          <w:p>
            <w:pPr>
              <w:pStyle w:val="Compact"/>
              <w:jc w:val="left"/>
            </w:pPr>
            <w:r>
              <w:t xml:space="preserve">Hours</w:t>
            </w:r>
          </w:p>
        </w:tc>
        <w:tc>
          <w:tcPr/>
          <w:p>
            <w:pPr>
              <w:pStyle w:val="Compact"/>
              <w:jc w:val="left"/>
            </w:pPr>
            <w:r>
              <w:t xml:space="preserve">Amount (KZT)</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Senior Project Manager – Overall project coordination, stakeholder management, and delivery oversight for the Almaty Metro Extension Phase II construction initiative</w:t>
            </w:r>
          </w:p>
        </w:tc>
        <w:tc>
          <w:tcPr/>
          <w:p>
            <w:pPr>
              <w:pStyle w:val="Compact"/>
              <w:jc w:val="left"/>
            </w:pPr>
            <w:r>
              <w:t xml:space="preserve">45,000</w:t>
            </w:r>
          </w:p>
        </w:tc>
        <w:tc>
          <w:tcPr/>
          <w:p>
            <w:pPr>
              <w:pStyle w:val="Compact"/>
              <w:jc w:val="left"/>
            </w:pPr>
            <w:r>
              <w:t xml:space="preserve">160</w:t>
            </w:r>
          </w:p>
        </w:tc>
        <w:tc>
          <w:tcPr/>
          <w:p>
            <w:pPr>
              <w:pStyle w:val="Compact"/>
              <w:jc w:val="left"/>
            </w:pPr>
            <w:r>
              <w:t xml:space="preserve">7,200,000</w:t>
            </w:r>
          </w:p>
        </w:tc>
        <w:tc>
          <w:tcPr/>
          <w:p>
            <w:pPr>
              <w:pStyle w:val="Compact"/>
              <w:jc w:val="left"/>
            </w:pPr>
            <w:r>
              <w:t xml:space="preserve">Project Management</w:t>
            </w:r>
          </w:p>
        </w:tc>
      </w:tr>
      <w:tr>
        <w:tc>
          <w:tcPr/>
          <w:p>
            <w:pPr>
              <w:pStyle w:val="Compact"/>
              <w:jc w:val="left"/>
            </w:pPr>
            <w:r>
              <w:t xml:space="preserve">2</w:t>
            </w:r>
          </w:p>
        </w:tc>
        <w:tc>
          <w:tcPr/>
          <w:p>
            <w:pPr>
              <w:pStyle w:val="Compact"/>
              <w:jc w:val="left"/>
            </w:pPr>
            <w:r>
              <w:t xml:space="preserve">Project Manager – Risk assessment, mitigation planning, and compliance reporting in accordance with Kazakhstan national construction regulations and Almaty municipal building codes</w:t>
            </w:r>
          </w:p>
        </w:tc>
        <w:tc>
          <w:tcPr/>
          <w:p>
            <w:pPr>
              <w:pStyle w:val="Compact"/>
              <w:jc w:val="left"/>
            </w:pPr>
            <w:r>
              <w:t xml:space="preserve">45,000</w:t>
            </w:r>
          </w:p>
        </w:tc>
        <w:tc>
          <w:tcPr/>
          <w:p>
            <w:pPr>
              <w:pStyle w:val="Compact"/>
              <w:jc w:val="left"/>
            </w:pPr>
            <w:r>
              <w:t xml:space="preserve">40</w:t>
            </w:r>
          </w:p>
        </w:tc>
        <w:tc>
          <w:tcPr/>
          <w:p>
            <w:pPr>
              <w:pStyle w:val="Compact"/>
              <w:jc w:val="left"/>
            </w:pPr>
            <w:r>
              <w:t xml:space="preserve">1,800,000</w:t>
            </w:r>
          </w:p>
        </w:tc>
        <w:tc>
          <w:tcPr/>
          <w:p>
            <w:pPr>
              <w:pStyle w:val="Compact"/>
              <w:jc w:val="left"/>
            </w:pPr>
            <w:r>
              <w:t xml:space="preserve">Risk &amp; Compliance</w:t>
            </w:r>
          </w:p>
        </w:tc>
      </w:tr>
      <w:tr>
        <w:tc>
          <w:tcPr/>
          <w:p>
            <w:pPr>
              <w:pStyle w:val="Compact"/>
              <w:jc w:val="left"/>
            </w:pPr>
            <w:r>
              <w:t xml:space="preserve">3</w:t>
            </w:r>
          </w:p>
        </w:tc>
        <w:tc>
          <w:tcPr/>
          <w:p>
            <w:pPr>
              <w:pStyle w:val="Compact"/>
              <w:jc w:val="left"/>
            </w:pPr>
            <w:r>
              <w:t xml:space="preserve">Project Manager – Vendor and subcontractor coordination, procurement oversight, and contract administration for all Phase II infrastructure components</w:t>
            </w:r>
          </w:p>
        </w:tc>
        <w:tc>
          <w:tcPr/>
          <w:p>
            <w:pPr>
              <w:pStyle w:val="Compact"/>
              <w:jc w:val="left"/>
            </w:pPr>
            <w:r>
              <w:t xml:space="preserve">45,000</w:t>
            </w:r>
          </w:p>
        </w:tc>
        <w:tc>
          <w:tcPr/>
          <w:p>
            <w:pPr>
              <w:pStyle w:val="Compact"/>
              <w:jc w:val="left"/>
            </w:pPr>
            <w:r>
              <w:t xml:space="preserve">32</w:t>
            </w:r>
          </w:p>
        </w:tc>
        <w:tc>
          <w:tcPr/>
          <w:p>
            <w:pPr>
              <w:pStyle w:val="Compact"/>
              <w:jc w:val="left"/>
            </w:pPr>
            <w:r>
              <w:t xml:space="preserve">1,440,000</w:t>
            </w:r>
          </w:p>
        </w:tc>
        <w:tc>
          <w:tcPr/>
          <w:p>
            <w:pPr>
              <w:pStyle w:val="Compact"/>
              <w:jc w:val="left"/>
            </w:pPr>
            <w:r>
              <w:t xml:space="preserve">Procurement</w:t>
            </w:r>
          </w:p>
        </w:tc>
      </w:tr>
      <w:tr>
        <w:tc>
          <w:tcPr/>
          <w:p>
            <w:pPr>
              <w:pStyle w:val="Compact"/>
              <w:jc w:val="left"/>
            </w:pPr>
            <w:r>
              <w:t xml:space="preserve">4</w:t>
            </w:r>
          </w:p>
        </w:tc>
        <w:tc>
          <w:tcPr/>
          <w:p>
            <w:pPr>
              <w:pStyle w:val="Compact"/>
              <w:jc w:val="left"/>
            </w:pPr>
            <w:r>
              <w:t xml:space="preserve">Project Manager – Weekly progress reporting, milestone tracking, and presentation of status updates to the Tengri Infrastructure Development JSC executive board in Kazakhstan Almaty</w:t>
            </w:r>
          </w:p>
        </w:tc>
        <w:tc>
          <w:tcPr/>
          <w:p>
            <w:pPr>
              <w:pStyle w:val="Compact"/>
              <w:jc w:val="left"/>
            </w:pPr>
            <w:r>
              <w:t xml:space="preserve">45,000</w:t>
            </w:r>
          </w:p>
        </w:tc>
        <w:tc>
          <w:tcPr/>
          <w:p>
            <w:pPr>
              <w:pStyle w:val="Compact"/>
              <w:jc w:val="left"/>
            </w:pPr>
            <w:r>
              <w:t xml:space="preserve">24</w:t>
            </w:r>
          </w:p>
        </w:tc>
        <w:tc>
          <w:tcPr/>
          <w:p>
            <w:pPr>
              <w:pStyle w:val="Compact"/>
              <w:jc w:val="left"/>
            </w:pPr>
            <w:r>
              <w:t xml:space="preserve">1,080,000</w:t>
            </w:r>
          </w:p>
        </w:tc>
        <w:tc>
          <w:tcPr/>
          <w:p>
            <w:pPr>
              <w:pStyle w:val="Compact"/>
              <w:jc w:val="left"/>
            </w:pPr>
            <w:r>
              <w:t xml:space="preserve">Reporting &amp; Communication</w:t>
            </w:r>
          </w:p>
        </w:tc>
      </w:tr>
      <w:tr>
        <w:tc>
          <w:tcPr/>
          <w:p>
            <w:pPr>
              <w:pStyle w:val="Compact"/>
              <w:jc w:val="left"/>
            </w:pPr>
            <w:r>
              <w:t xml:space="preserve">5</w:t>
            </w:r>
          </w:p>
        </w:tc>
        <w:tc>
          <w:tcPr/>
          <w:p>
            <w:pPr>
              <w:pStyle w:val="Compact"/>
              <w:jc w:val="left"/>
            </w:pPr>
            <w:r>
              <w:t xml:space="preserve">Project Manager – Quality assurance audits, site inspections, and technical documentation review for underground tunneling and station construction activities</w:t>
            </w:r>
          </w:p>
        </w:tc>
        <w:tc>
          <w:tcPr/>
          <w:p>
            <w:pPr>
              <w:pStyle w:val="Compact"/>
              <w:jc w:val="left"/>
            </w:pPr>
            <w:r>
              <w:t xml:space="preserve">45,000</w:t>
            </w:r>
          </w:p>
        </w:tc>
        <w:tc>
          <w:tcPr/>
          <w:p>
            <w:pPr>
              <w:pStyle w:val="Compact"/>
              <w:jc w:val="left"/>
            </w:pPr>
            <w:r>
              <w:t xml:space="preserve">24</w:t>
            </w:r>
          </w:p>
        </w:tc>
        <w:tc>
          <w:tcPr/>
          <w:p>
            <w:pPr>
              <w:pStyle w:val="Compact"/>
              <w:jc w:val="left"/>
            </w:pPr>
            <w:r>
              <w:t xml:space="preserve">1,080,000</w:t>
            </w:r>
          </w:p>
        </w:tc>
        <w:tc>
          <w:tcPr/>
          <w:p>
            <w:pPr>
              <w:pStyle w:val="Compact"/>
              <w:jc w:val="left"/>
            </w:pPr>
            <w:r>
              <w:t xml:space="preserve">Quality Assurance</w:t>
            </w:r>
          </w:p>
        </w:tc>
      </w:tr>
      <w:tr>
        <w:tc>
          <w:tcPr/>
          <w:p>
            <w:pPr>
              <w:pStyle w:val="Compact"/>
              <w:jc w:val="left"/>
            </w:pPr>
            <w:r>
              <w:t xml:space="preserve">6</w:t>
            </w:r>
          </w:p>
        </w:tc>
        <w:tc>
          <w:tcPr/>
          <w:p>
            <w:pPr>
              <w:pStyle w:val="Compact"/>
              <w:jc w:val="left"/>
            </w:pPr>
            <w:r>
              <w:t xml:space="preserve">Project Manager – Change order management, scope adjustment documentation, and budget variance analysis for the Kazakhstan Almaty transit infrastructure project</w:t>
            </w:r>
          </w:p>
        </w:tc>
        <w:tc>
          <w:tcPr/>
          <w:p>
            <w:pPr>
              <w:pStyle w:val="Compact"/>
              <w:jc w:val="left"/>
            </w:pPr>
            <w:r>
              <w:t xml:space="preserve">45,000</w:t>
            </w:r>
          </w:p>
        </w:tc>
        <w:tc>
          <w:tcPr/>
          <w:p>
            <w:pPr>
              <w:pStyle w:val="Compact"/>
              <w:jc w:val="left"/>
            </w:pPr>
            <w:r>
              <w:t xml:space="preserve">20</w:t>
            </w:r>
          </w:p>
        </w:tc>
        <w:tc>
          <w:tcPr/>
          <w:p>
            <w:pPr>
              <w:pStyle w:val="Compact"/>
              <w:jc w:val="left"/>
            </w:pPr>
            <w:r>
              <w:t xml:space="preserve">900,000</w:t>
            </w:r>
          </w:p>
        </w:tc>
        <w:tc>
          <w:tcPr/>
          <w:p>
            <w:pPr>
              <w:pStyle w:val="Compact"/>
              <w:jc w:val="left"/>
            </w:pPr>
            <w:r>
              <w:t xml:space="preserve">Budget &amp; Scope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13,500,000.00 KZT</w:t>
            </w:r>
          </w:p>
        </w:tc>
      </w:tr>
      <w:tr>
        <w:tc>
          <w:tcPr/>
          <w:p>
            <w:pPr>
              <w:pStyle w:val="Compact"/>
              <w:jc w:val="left"/>
            </w:pPr>
            <w:r>
              <w:t xml:space="preserve">VAT (12% – Kazakhstan Standard Rate)</w:t>
            </w:r>
          </w:p>
        </w:tc>
        <w:tc>
          <w:tcPr/>
          <w:p>
            <w:pPr>
              <w:pStyle w:val="Compact"/>
              <w:jc w:val="right"/>
            </w:pPr>
            <w:r>
              <w:t xml:space="preserve">1,620,000.00 KZT</w:t>
            </w:r>
          </w:p>
        </w:tc>
      </w:tr>
      <w:tr>
        <w:tc>
          <w:tcPr/>
          <w:p>
            <w:pPr>
              <w:pStyle w:val="Compact"/>
              <w:jc w:val="left"/>
            </w:pPr>
            <w:r>
              <w:t xml:space="preserve">Travel &amp; Site Access Surcharge</w:t>
            </w:r>
          </w:p>
        </w:tc>
        <w:tc>
          <w:tcPr/>
          <w:p>
            <w:pPr>
              <w:pStyle w:val="Compact"/>
              <w:jc w:val="right"/>
            </w:pPr>
            <w:r>
              <w:t xml:space="preserve">180,000.00 KZT</w:t>
            </w:r>
          </w:p>
        </w:tc>
      </w:tr>
      <w:tr>
        <w:tc>
          <w:tcPr/>
          <w:p>
            <w:pPr>
              <w:pStyle w:val="Compact"/>
              <w:jc w:val="left"/>
            </w:pPr>
            <w:r>
              <w:t xml:space="preserve">Discount (Early Payment – 2%)</w:t>
            </w:r>
          </w:p>
        </w:tc>
        <w:tc>
          <w:tcPr/>
          <w:p>
            <w:pPr>
              <w:pStyle w:val="Compact"/>
              <w:jc w:val="right"/>
            </w:pPr>
            <w:r>
              <w:t xml:space="preserve">-270,000.00 KZT</w:t>
            </w:r>
          </w:p>
        </w:tc>
      </w:tr>
      <w:tr>
        <w:tc>
          <w:tcPr/>
          <w:p>
            <w:pPr>
              <w:pStyle w:val="Compact"/>
              <w:jc w:val="left"/>
            </w:pPr>
            <w:r>
              <w:t xml:space="preserve">GRAND TOTAL</w:t>
            </w:r>
          </w:p>
        </w:tc>
        <w:tc>
          <w:tcPr/>
          <w:p>
            <w:pPr>
              <w:pStyle w:val="Compact"/>
              <w:jc w:val="right"/>
            </w:pPr>
            <w:r>
              <w:t xml:space="preserve">15,030,000.00 KZT</w:t>
            </w:r>
          </w:p>
        </w:tc>
      </w:tr>
    </w:tbl>
    <w:p>
      <w:pPr>
        <w:pStyle w:val="BodyText"/>
      </w:pPr>
      <w:r>
        <w:rPr>
          <w:bCs/>
          <w:b/>
        </w:rPr>
        <w:t xml:space="preserve">Payment Instructions:</w:t>
      </w:r>
    </w:p>
    <w:p>
      <w:pPr>
        <w:pStyle w:val="BodyText"/>
      </w:pPr>
      <w:r>
        <w:t xml:space="preserve">Bank: Jusan International JSC, Kazakhstan Almaty Branch</w:t>
      </w:r>
    </w:p>
    <w:p>
      <w:pPr>
        <w:pStyle w:val="BodyText"/>
      </w:pPr>
      <w:r>
        <w:t xml:space="preserve">Account Name: Almaty Project Solutions LLP</w:t>
      </w:r>
    </w:p>
    <w:p>
      <w:pPr>
        <w:pStyle w:val="BodyText"/>
      </w:pPr>
      <w:r>
        <w:t xml:space="preserve">IBAN: KZ85 9900 0000 0000 0000 0000</w:t>
      </w:r>
    </w:p>
    <w:p>
      <w:pPr>
        <w:pStyle w:val="BodyText"/>
      </w:pPr>
      <w:r>
        <w:t xml:space="preserve">BIC/SWIFT: JSANKZKA</w:t>
      </w:r>
    </w:p>
    <w:p>
      <w:pPr>
        <w:pStyle w:val="BodyText"/>
      </w:pPr>
      <w:r>
        <w:t xml:space="preserve">Reference: APS-2025-0047 / TID-PS-2025-012</w:t>
      </w:r>
    </w:p>
    <w:p>
      <w:pPr>
        <w:pStyle w:val="BodyText"/>
      </w:pPr>
      <w:r>
        <w:t xml:space="preserve">Please ensure this Invoice reference number is included in all payment remittances to facilitate accurate reconciliation.</w:t>
      </w:r>
    </w:p>
    <w:bookmarkStart w:id="24" w:name="terms-conditions-notes"/>
    <w:p>
      <w:pPr>
        <w:pStyle w:val="Heading3"/>
      </w:pPr>
      <w:r>
        <w:t xml:space="preserve">Terms, Conditions &amp; Notes</w:t>
      </w:r>
    </w:p>
    <w:p>
      <w:pPr>
        <w:pStyle w:val="FirstParagraph"/>
      </w:pPr>
      <w:r>
        <w:rPr>
          <w:bCs/>
          <w:b/>
        </w:rPr>
        <w:t xml:space="preserve">1.</w:t>
      </w:r>
      <w:r>
        <w:t xml:space="preserve"> </w:t>
      </w:r>
      <w:r>
        <w:t xml:space="preserve">This Invoice is issued in accordance with the Master Service Agreement (Contract No: TID-PS-2025-012) between Almaty Project Solutions LLP and Tengri Infrastructure Development JSC, governing the provision of dedicated Project Manager services for the Almaty Metro Extension Phase II project located in Kazakhstan Almaty.</w:t>
      </w:r>
    </w:p>
    <w:p>
      <w:pPr>
        <w:pStyle w:val="BodyText"/>
      </w:pPr>
      <w:r>
        <w:rPr>
          <w:bCs/>
          <w:b/>
        </w:rPr>
        <w:t xml:space="preserve">2.</w:t>
      </w:r>
      <w:r>
        <w:t xml:space="preserve"> </w:t>
      </w:r>
      <w:r>
        <w:t xml:space="preserve">All Project Manager services rendered during the billing period of May 1, 2025, through May 31, 2025, are itemized above. The Project Manager assigned to this engagement, Mr. Serik Abenov (PMP, PRINCE2 Practitioner), has fulfilled all contractual obligations as defined in the Statement of Work.</w:t>
      </w:r>
    </w:p>
    <w:p>
      <w:pPr>
        <w:pStyle w:val="BodyText"/>
      </w:pPr>
      <w:r>
        <w:rPr>
          <w:bCs/>
          <w:b/>
        </w:rPr>
        <w:t xml:space="preserve">3.</w:t>
      </w:r>
      <w:r>
        <w:t xml:space="preserve"> </w:t>
      </w:r>
      <w:r>
        <w:t xml:space="preserve">Payment is due within thirty (30) calendar days from the date of this Invoice. Late payments shall accrue interest at a rate of 1.5% per month, in compliance with the Civil Code of the Republic of Kazakhstan, Chapter 44, Article 317.</w:t>
      </w:r>
    </w:p>
    <w:p>
      <w:pPr>
        <w:pStyle w:val="BodyText"/>
      </w:pPr>
      <w:r>
        <w:rPr>
          <w:bCs/>
          <w:b/>
        </w:rPr>
        <w:t xml:space="preserve">4.</w:t>
      </w:r>
      <w:r>
        <w:t xml:space="preserve"> </w:t>
      </w:r>
      <w:r>
        <w:t xml:space="preserve">This Invoice is subject to the 12% Value Added Tax (VAT) rate applicable in Kazakhstan. The VAT amount is calculated on the subtotal of services rendered by the Project Manager team.</w:t>
      </w:r>
    </w:p>
    <w:p>
      <w:pPr>
        <w:pStyle w:val="BodyText"/>
      </w:pPr>
      <w:r>
        <w:rPr>
          <w:bCs/>
          <w:b/>
        </w:rPr>
        <w:t xml:space="preserve">5.</w:t>
      </w:r>
      <w:r>
        <w:t xml:space="preserve"> </w:t>
      </w:r>
      <w:r>
        <w:t xml:space="preserve">Any disputes arising from this Invoice shall be resolved through arbitration in Kazakhstan Almaty under the rules of the Almaty International Arbitration Centre, in accordance with the dispute resolution clause of the governing contract.</w:t>
      </w:r>
    </w:p>
    <w:p>
      <w:pPr>
        <w:pStyle w:val="BodyText"/>
      </w:pPr>
      <w:r>
        <w:rPr>
          <w:bCs/>
          <w:b/>
        </w:rPr>
        <w:t xml:space="preserve">6.</w:t>
      </w:r>
      <w:r>
        <w:t xml:space="preserve"> </w:t>
      </w:r>
      <w:r>
        <w:t xml:space="preserve">The Project Manager services described herein include on-site presence at the Kazakhstan Almaty construction zones, remote coordination sessions, and all necessary documentation preparation. Additional hours beyond the contracted scope require prior written approval and will be invoiced separately.</w:t>
      </w:r>
    </w:p>
    <w:p>
      <w:pPr>
        <w:pStyle w:val="BodyText"/>
      </w:pPr>
      <w:r>
        <w:rPr>
          <w:bCs/>
          <w:b/>
        </w:rPr>
        <w:t xml:space="preserve">7.</w:t>
      </w:r>
      <w:r>
        <w:t xml:space="preserve"> </w:t>
      </w:r>
      <w:r>
        <w:t xml:space="preserve">This Invoice constitutes a final billing for the stated service period. No further charges will be applied for the May 2025 engagement unless a formal change order is executed by both parties.</w:t>
      </w:r>
    </w:p>
    <w:bookmarkEnd w:id="24"/>
    <w:p>
      <w:pPr>
        <w:pStyle w:val="BodyText"/>
      </w:pPr>
      <w:r>
        <w:t xml:space="preserve">Thank you for your business. This Invoice was generated electronically and is valid without a physical signature in accordance with Kazakhstan electronic document legislation.</w:t>
      </w:r>
    </w:p>
    <w:p>
      <w:pPr>
        <w:pStyle w:val="BodyText"/>
      </w:pPr>
      <w:r>
        <w:t xml:space="preserve">Almaty Project Solutions LLP | Kazakhstan Almaty | Invoice No: APS-2025-0047 | Issued: June 15, 2025</w:t>
      </w:r>
    </w:p>
    <w:p>
      <w:pPr>
        <w:pStyle w:val="BodyText"/>
      </w:pPr>
      <w:r>
        <w:t xml:space="preserve">For questions regarding this Invoice or the Project Manager engagement, please contact billing@almatyprojectsolutions.kz or +7 (727) 312-45-67.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Kazakhstan Almaty</dc:title>
  <dc:creator/>
  <dc:language>en</dc:language>
  <cp:keywords/>
  <dcterms:created xsi:type="dcterms:W3CDTF">2026-10-10T01:06:19Z</dcterms:created>
  <dcterms:modified xsi:type="dcterms:W3CDTF">2026-10-10T01:06:19Z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