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Amsterdam,</w:t>
      </w:r>
      <w:r>
        <w:t xml:space="preserve"> </w:t>
      </w:r>
      <w:r>
        <w:t xml:space="preserve">Netherlands</w:t>
      </w:r>
    </w:p>
    <w:p>
      <w:pPr>
        <w:pStyle w:val="FirstParagraph"/>
      </w:pPr>
      <w:r>
        <w:t xml:space="preserve">Amsterdam Project Solutions B.V.</w:t>
      </w:r>
    </w:p>
    <w:p>
      <w:pPr>
        <w:pStyle w:val="BodyText"/>
      </w:pPr>
      <w:r>
        <w:t xml:space="preserve">Herengracht 452</w:t>
      </w:r>
      <w:r>
        <w:br/>
      </w:r>
      <w:r>
        <w:t xml:space="preserve">1017 CA Amsterdam</w:t>
      </w:r>
      <w:r>
        <w:br/>
      </w:r>
      <w:r>
        <w:t xml:space="preserve">The Netherlands</w:t>
      </w:r>
      <w:r>
        <w:br/>
      </w:r>
      <w:r>
        <w:t xml:space="preserve">KvK: 87654321</w:t>
      </w:r>
      <w:r>
        <w:br/>
      </w:r>
      <w:r>
        <w:t xml:space="preserve">BTW: NL861234567B01</w:t>
      </w:r>
    </w:p>
    <w:p>
      <w:pPr>
        <w:pStyle w:val="BodyText"/>
      </w:pPr>
      <w:r>
        <w:t xml:space="preserve">INVOICE</w:t>
      </w:r>
    </w:p>
    <w:p>
      <w:pPr>
        <w:pStyle w:val="BodyText"/>
      </w:pPr>
      <w:r>
        <w:rPr>
          <w:bCs/>
          <w:b/>
        </w:rPr>
        <w:t xml:space="preserve">Invoice No.:</w:t>
      </w:r>
      <w:r>
        <w:t xml:space="preserve"> </w:t>
      </w:r>
      <w:r>
        <w:t xml:space="preserve">INV-2025-AM-0047</w:t>
      </w:r>
      <w:r>
        <w:br/>
      </w:r>
      <w:r>
        <w:rPr>
          <w:bCs/>
          <w:b/>
        </w:rPr>
        <w:t xml:space="preserve">Date Issued:</w:t>
      </w:r>
      <w:r>
        <w:t xml:space="preserve"> </w:t>
      </w:r>
      <w:r>
        <w:t xml:space="preserve">15 June 2025</w:t>
      </w:r>
      <w:r>
        <w:br/>
      </w:r>
      <w:r>
        <w:rPr>
          <w:bCs/>
          <w:b/>
        </w:rPr>
        <w:t xml:space="preserve">Due Date:</w:t>
      </w:r>
      <w:r>
        <w:t xml:space="preserve"> </w:t>
      </w:r>
      <w:r>
        <w:t xml:space="preserve">30 June 2025</w:t>
      </w:r>
      <w:r>
        <w:br/>
      </w:r>
      <w:r>
        <w:rPr>
          <w:bCs/>
          <w:b/>
        </w:rPr>
        <w:t xml:space="preserve">Project Ref.:</w:t>
      </w:r>
      <w:r>
        <w:t xml:space="preserve"> </w:t>
      </w:r>
      <w:r>
        <w:t xml:space="preserve">PM-AMS-2025-019</w:t>
      </w:r>
    </w:p>
    <w:bookmarkStart w:id="20" w:name="bill-from"/>
    <w:p>
      <w:pPr>
        <w:pStyle w:val="Heading3"/>
      </w:pPr>
      <w:r>
        <w:t xml:space="preserve">Bill From</w:t>
      </w:r>
    </w:p>
    <w:p>
      <w:pPr>
        <w:pStyle w:val="FirstParagraph"/>
      </w:pPr>
      <w:r>
        <w:rPr>
          <w:bCs/>
          <w:b/>
        </w:rPr>
        <w:t xml:space="preserve">Amsterdam Project Solutions B.V.</w:t>
      </w:r>
    </w:p>
    <w:p>
      <w:pPr>
        <w:pStyle w:val="BodyText"/>
      </w:pPr>
      <w:r>
        <w:t xml:space="preserve">Herengracht 452</w:t>
      </w:r>
    </w:p>
    <w:p>
      <w:pPr>
        <w:pStyle w:val="BodyText"/>
      </w:pPr>
      <w:r>
        <w:t xml:space="preserve">1017 CA Amsterdam</w:t>
      </w:r>
    </w:p>
    <w:p>
      <w:pPr>
        <w:pStyle w:val="BodyText"/>
      </w:pPr>
      <w:r>
        <w:t xml:space="preserve">The Netherlands</w:t>
      </w:r>
    </w:p>
    <w:p>
      <w:pPr>
        <w:pStyle w:val="BodyText"/>
      </w:pPr>
      <w:r>
        <w:t xml:space="preserve">Tel: +31 20 555 0142</w:t>
      </w:r>
    </w:p>
    <w:p>
      <w:pPr>
        <w:pStyle w:val="BodyText"/>
      </w:pPr>
      <w:r>
        <w:t xml:space="preserve">Email: billing@amsterdamprojectsolutions.nl</w:t>
      </w:r>
    </w:p>
    <w:bookmarkEnd w:id="20"/>
    <w:bookmarkStart w:id="21" w:name="bill-to"/>
    <w:p>
      <w:pPr>
        <w:pStyle w:val="Heading3"/>
      </w:pPr>
      <w:r>
        <w:t xml:space="preserve">Bill To</w:t>
      </w:r>
    </w:p>
    <w:p>
      <w:pPr>
        <w:pStyle w:val="FirstParagraph"/>
      </w:pPr>
      <w:r>
        <w:rPr>
          <w:bCs/>
          <w:b/>
        </w:rPr>
        <w:t xml:space="preserve">Van der Berg &amp; Partners N.V.</w:t>
      </w:r>
    </w:p>
    <w:p>
      <w:pPr>
        <w:pStyle w:val="BodyText"/>
      </w:pPr>
      <w:r>
        <w:t xml:space="preserve">Keizersgracht 210</w:t>
      </w:r>
    </w:p>
    <w:p>
      <w:pPr>
        <w:pStyle w:val="BodyText"/>
      </w:pPr>
      <w:r>
        <w:t xml:space="preserve">1016 DZ Amsterdam</w:t>
      </w:r>
    </w:p>
    <w:p>
      <w:pPr>
        <w:pStyle w:val="BodyText"/>
      </w:pPr>
      <w:r>
        <w:t xml:space="preserve">The Netherlands</w:t>
      </w:r>
    </w:p>
    <w:p>
      <w:pPr>
        <w:pStyle w:val="BodyText"/>
      </w:pPr>
      <w:r>
        <w:t xml:space="preserve">Attn: Mr. J. van der Berg, Director</w:t>
      </w:r>
    </w:p>
    <w:p>
      <w:pPr>
        <w:pStyle w:val="BodyText"/>
      </w:pPr>
      <w:r>
        <w:t xml:space="preserve">Tel: +31 20 555 0387</w:t>
      </w:r>
    </w:p>
    <w:p>
      <w:pPr>
        <w:pStyle w:val="BodyText"/>
      </w:pPr>
      <w:r>
        <w:t xml:space="preserve">Email: j.vanderberg@vdbergpartners.nl</w:t>
      </w:r>
    </w:p>
    <w:bookmarkEnd w:id="21"/>
    <w:p>
      <w:pPr>
        <w:pStyle w:val="BodyText"/>
      </w:pPr>
      <w:r>
        <w:t xml:space="preserve">Description of Project Manager Services Rendered</w:t>
      </w:r>
    </w:p>
    <w:p>
      <w:pPr>
        <w:pStyle w:val="BodyText"/>
      </w:pPr>
      <w:r>
        <w:t xml:space="preserve">This invoice pertains to the professional services of a dedicated Project Manager engaged by Amsterdam Project Solutions B.V. to oversee, coordinate, and deliver the "Amsterdam Digital Infrastructure Upgrade" project on behalf of Van der Berg &amp; Partners N.V. The Project Manager was responsible for full lifecycle management of the project, including stakeholder engagement, resource allocation, risk mitigation, budget oversight, and quality assurance, all conducted in compliance with Dutch commercial law and the terms of the master service agreement dated 1 March 2025.</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Project Manager – Strategic Planning &amp; Kickoff</w:t>
            </w:r>
            <w:r>
              <w:br/>
            </w:r>
            <w:r>
              <w:t xml:space="preserve">Development of the project charter, work breakdown structure, and initial risk register for the Amsterdam Digital Infrastructure Upgrade. Conducted kickoff meetings with all stakeholders in Amsterdam and established communication protocols.</w:t>
            </w:r>
          </w:p>
        </w:tc>
        <w:tc>
          <w:tcPr/>
          <w:p>
            <w:pPr>
              <w:pStyle w:val="Compact"/>
              <w:jc w:val="left"/>
            </w:pPr>
            <w:r>
              <w:t xml:space="preserve">1 Mar – 15 Mar 2025</w:t>
            </w:r>
          </w:p>
        </w:tc>
        <w:tc>
          <w:tcPr/>
          <w:p>
            <w:pPr>
              <w:pStyle w:val="Compact"/>
              <w:jc w:val="left"/>
            </w:pPr>
            <w:r>
              <w:t xml:space="preserve">40</w:t>
            </w:r>
          </w:p>
        </w:tc>
        <w:tc>
          <w:tcPr/>
          <w:p>
            <w:pPr>
              <w:pStyle w:val="Compact"/>
              <w:jc w:val="left"/>
            </w:pPr>
            <w:r>
              <w:t xml:space="preserve">€ 95.00</w:t>
            </w:r>
          </w:p>
        </w:tc>
        <w:tc>
          <w:tcPr/>
          <w:p>
            <w:pPr>
              <w:pStyle w:val="Compact"/>
              <w:jc w:val="left"/>
            </w:pPr>
            <w:r>
              <w:t xml:space="preserve">€ 3,800.00</w:t>
            </w:r>
          </w:p>
        </w:tc>
      </w:tr>
      <w:tr>
        <w:tc>
          <w:tcPr/>
          <w:p>
            <w:pPr>
              <w:pStyle w:val="Compact"/>
              <w:jc w:val="left"/>
            </w:pPr>
            <w:r>
              <w:t xml:space="preserve">2</w:t>
            </w:r>
          </w:p>
        </w:tc>
        <w:tc>
          <w:tcPr/>
          <w:p>
            <w:pPr>
              <w:pStyle w:val="Compact"/>
              <w:jc w:val="left"/>
            </w:pPr>
            <w:r>
              <w:rPr>
                <w:bCs/>
                <w:b/>
              </w:rPr>
              <w:t xml:space="preserve">Project Manager – Execution &amp; Coordination</w:t>
            </w:r>
            <w:r>
              <w:br/>
            </w:r>
            <w:r>
              <w:t xml:space="preserve">Day-to-day management of cross-functional teams, vendor coordination, sprint planning, and progress tracking. The Project Manager facilitated weekly status meetings, managed change requests, and ensured alignment with the project scope defined in the Amsterdam-based contract.</w:t>
            </w:r>
          </w:p>
        </w:tc>
        <w:tc>
          <w:tcPr/>
          <w:p>
            <w:pPr>
              <w:pStyle w:val="Compact"/>
              <w:jc w:val="left"/>
            </w:pPr>
            <w:r>
              <w:t xml:space="preserve">16 Mar – 30 Apr 2025</w:t>
            </w:r>
          </w:p>
        </w:tc>
        <w:tc>
          <w:tcPr/>
          <w:p>
            <w:pPr>
              <w:pStyle w:val="Compact"/>
              <w:jc w:val="left"/>
            </w:pPr>
            <w:r>
              <w:t xml:space="preserve">160</w:t>
            </w:r>
          </w:p>
        </w:tc>
        <w:tc>
          <w:tcPr/>
          <w:p>
            <w:pPr>
              <w:pStyle w:val="Compact"/>
              <w:jc w:val="left"/>
            </w:pPr>
            <w:r>
              <w:t xml:space="preserve">€ 95.00</w:t>
            </w:r>
          </w:p>
        </w:tc>
        <w:tc>
          <w:tcPr/>
          <w:p>
            <w:pPr>
              <w:pStyle w:val="Compact"/>
              <w:jc w:val="left"/>
            </w:pPr>
            <w:r>
              <w:t xml:space="preserve">€ 15,200.00</w:t>
            </w:r>
          </w:p>
        </w:tc>
      </w:tr>
      <w:tr>
        <w:tc>
          <w:tcPr/>
          <w:p>
            <w:pPr>
              <w:pStyle w:val="Compact"/>
              <w:jc w:val="left"/>
            </w:pPr>
            <w:r>
              <w:t xml:space="preserve">3</w:t>
            </w:r>
          </w:p>
        </w:tc>
        <w:tc>
          <w:tcPr/>
          <w:p>
            <w:pPr>
              <w:pStyle w:val="Compact"/>
              <w:jc w:val="left"/>
            </w:pPr>
            <w:r>
              <w:rPr>
                <w:bCs/>
                <w:b/>
              </w:rPr>
              <w:t xml:space="preserve">Project Manager – Quality Assurance &amp; Testing Oversight</w:t>
            </w:r>
            <w:r>
              <w:br/>
            </w:r>
            <w:r>
              <w:t xml:space="preserve">Supervision of the quality assurance phase, including review of deliverables, coordination of user acceptance testing sessions in Amsterdam, and resolution of identified defects prior to final deployment.</w:t>
            </w:r>
          </w:p>
        </w:tc>
        <w:tc>
          <w:tcPr/>
          <w:p>
            <w:pPr>
              <w:pStyle w:val="Compact"/>
              <w:jc w:val="left"/>
            </w:pPr>
            <w:r>
              <w:t xml:space="preserve">1 May – 15 May 2025</w:t>
            </w:r>
          </w:p>
        </w:tc>
        <w:tc>
          <w:tcPr/>
          <w:p>
            <w:pPr>
              <w:pStyle w:val="Compact"/>
              <w:jc w:val="left"/>
            </w:pPr>
            <w:r>
              <w:t xml:space="preserve">80</w:t>
            </w:r>
          </w:p>
        </w:tc>
        <w:tc>
          <w:tcPr/>
          <w:p>
            <w:pPr>
              <w:pStyle w:val="Compact"/>
              <w:jc w:val="left"/>
            </w:pPr>
            <w:r>
              <w:t xml:space="preserve">€ 95.00</w:t>
            </w:r>
          </w:p>
        </w:tc>
        <w:tc>
          <w:tcPr/>
          <w:p>
            <w:pPr>
              <w:pStyle w:val="Compact"/>
              <w:jc w:val="left"/>
            </w:pPr>
            <w:r>
              <w:t xml:space="preserve">€ 7,600.00</w:t>
            </w:r>
          </w:p>
        </w:tc>
      </w:tr>
      <w:tr>
        <w:tc>
          <w:tcPr/>
          <w:p>
            <w:pPr>
              <w:pStyle w:val="Compact"/>
              <w:jc w:val="left"/>
            </w:pPr>
            <w:r>
              <w:t xml:space="preserve">4</w:t>
            </w:r>
          </w:p>
        </w:tc>
        <w:tc>
          <w:tcPr/>
          <w:p>
            <w:pPr>
              <w:pStyle w:val="Compact"/>
              <w:jc w:val="left"/>
            </w:pPr>
            <w:r>
              <w:rPr>
                <w:bCs/>
                <w:b/>
              </w:rPr>
              <w:t xml:space="preserve">Project Manager – Closure &amp; Handover</w:t>
            </w:r>
            <w:r>
              <w:br/>
            </w:r>
            <w:r>
              <w:t xml:space="preserve">Final project documentation, lessons-learned workshop, formal handover of all project artefacts to the client team, and preparation of the final project report in accordance with Dutch reporting standards.</w:t>
            </w:r>
          </w:p>
        </w:tc>
        <w:tc>
          <w:tcPr/>
          <w:p>
            <w:pPr>
              <w:pStyle w:val="Compact"/>
              <w:jc w:val="left"/>
            </w:pPr>
            <w:r>
              <w:t xml:space="preserve">16 May – 15 Jun 2025</w:t>
            </w:r>
          </w:p>
        </w:tc>
        <w:tc>
          <w:tcPr/>
          <w:p>
            <w:pPr>
              <w:pStyle w:val="Compact"/>
              <w:jc w:val="left"/>
            </w:pPr>
            <w:r>
              <w:t xml:space="preserve">40</w:t>
            </w:r>
          </w:p>
        </w:tc>
        <w:tc>
          <w:tcPr/>
          <w:p>
            <w:pPr>
              <w:pStyle w:val="Compact"/>
              <w:jc w:val="left"/>
            </w:pPr>
            <w:r>
              <w:t xml:space="preserve">€ 95.00</w:t>
            </w:r>
          </w:p>
        </w:tc>
        <w:tc>
          <w:tcPr/>
          <w:p>
            <w:pPr>
              <w:pStyle w:val="Compact"/>
              <w:jc w:val="left"/>
            </w:pPr>
            <w:r>
              <w:t xml:space="preserve">€ 3,800.00</w:t>
            </w:r>
          </w:p>
        </w:tc>
      </w:tr>
      <w:tr>
        <w:tc>
          <w:tcPr/>
          <w:p>
            <w:pPr>
              <w:pStyle w:val="Compact"/>
              <w:jc w:val="left"/>
            </w:pPr>
            <w:r>
              <w:t xml:space="preserve">5</w:t>
            </w:r>
          </w:p>
        </w:tc>
        <w:tc>
          <w:tcPr/>
          <w:p>
            <w:pPr>
              <w:pStyle w:val="Compact"/>
              <w:jc w:val="left"/>
            </w:pPr>
            <w:r>
              <w:rPr>
                <w:bCs/>
                <w:b/>
              </w:rPr>
              <w:t xml:space="preserve">Project Manager – Travel &amp; Local Expenses (Amsterdam)</w:t>
            </w:r>
            <w:r>
              <w:br/>
            </w:r>
            <w:r>
              <w:t xml:space="preserve">Local transportation, client-site visits within Amsterdam, and associated administrative costs incurred during the project duration.</w:t>
            </w:r>
          </w:p>
        </w:tc>
        <w:tc>
          <w:tcPr/>
          <w:p>
            <w:pPr>
              <w:pStyle w:val="Compact"/>
              <w:jc w:val="left"/>
            </w:pPr>
            <w:r>
              <w:t xml:space="preserve">Mar –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€ 1,240.00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€ 31,640.00</w:t>
            </w:r>
          </w:p>
        </w:tc>
      </w:tr>
      <w:tr>
        <w:tc>
          <w:tcPr/>
          <w:p>
            <w:pPr>
              <w:pStyle w:val="Compact"/>
              <w:jc w:val="left"/>
            </w:pPr>
            <w:r>
              <w:t xml:space="preserve">VAT (21% – Netherlands)</w:t>
            </w:r>
          </w:p>
        </w:tc>
        <w:tc>
          <w:tcPr/>
          <w:p>
            <w:pPr>
              <w:pStyle w:val="Compact"/>
              <w:jc w:val="left"/>
            </w:pPr>
            <w:r>
              <w:t xml:space="preserve">€ 6,644.40</w:t>
            </w:r>
          </w:p>
        </w:tc>
      </w:tr>
      <w:tr>
        <w:tc>
          <w:tcPr/>
          <w:p>
            <w:pPr>
              <w:pStyle w:val="Compact"/>
              <w:jc w:val="left"/>
            </w:pPr>
            <w:r>
              <w:t xml:space="preserve">TOTAL DUE</w:t>
            </w:r>
          </w:p>
        </w:tc>
        <w:tc>
          <w:tcPr/>
          <w:p>
            <w:pPr>
              <w:pStyle w:val="Compact"/>
              <w:jc w:val="left"/>
            </w:pPr>
            <w:r>
              <w:t xml:space="preserve">€ 38,284.40</w:t>
            </w:r>
          </w:p>
        </w:tc>
      </w:tr>
    </w:tbl>
    <w:bookmarkStart w:id="22" w:name="payment-terms-instructions"/>
    <w:p>
      <w:pPr>
        <w:pStyle w:val="Heading3"/>
      </w:pPr>
      <w:r>
        <w:t xml:space="preserve">Payment Terms &amp; Instructions</w:t>
      </w:r>
    </w:p>
    <w:p>
      <w:pPr>
        <w:numPr>
          <w:ilvl w:val="0"/>
          <w:numId w:val="1001"/>
        </w:numPr>
        <w:pStyle w:val="Compact"/>
      </w:pPr>
      <w:r>
        <w:rPr>
          <w:bCs/>
          <w:b/>
        </w:rPr>
        <w:t xml:space="preserve">Payment Due:</w:t>
      </w:r>
      <w:r>
        <w:t xml:space="preserve"> </w:t>
      </w:r>
      <w:r>
        <w:t xml:space="preserve">Within 14 calendar days of the invoice date, i.e., no later than 30 June 2025.</w:t>
      </w:r>
    </w:p>
    <w:p>
      <w:pPr>
        <w:numPr>
          <w:ilvl w:val="0"/>
          <w:numId w:val="1001"/>
        </w:numPr>
        <w:pStyle w:val="Compact"/>
      </w:pPr>
      <w:r>
        <w:rPr>
          <w:bCs/>
          <w:b/>
        </w:rPr>
        <w:t xml:space="preserve">Payment Method:</w:t>
      </w:r>
      <w:r>
        <w:t xml:space="preserve"> </w:t>
      </w:r>
      <w:r>
        <w:t xml:space="preserve">Bank transfer (SEPA) to the account below.</w:t>
      </w:r>
    </w:p>
    <w:p>
      <w:pPr>
        <w:numPr>
          <w:ilvl w:val="0"/>
          <w:numId w:val="1001"/>
        </w:numPr>
        <w:pStyle w:val="Compact"/>
      </w:pPr>
      <w:r>
        <w:rPr>
          <w:bCs/>
          <w:b/>
        </w:rPr>
        <w:t xml:space="preserve">IBAN:</w:t>
      </w:r>
      <w:r>
        <w:t xml:space="preserve"> </w:t>
      </w:r>
      <w:r>
        <w:t xml:space="preserve">NL91 ABNA 0417 1643 00</w:t>
      </w:r>
    </w:p>
    <w:p>
      <w:pPr>
        <w:numPr>
          <w:ilvl w:val="0"/>
          <w:numId w:val="1001"/>
        </w:numPr>
        <w:pStyle w:val="Compact"/>
      </w:pPr>
      <w:r>
        <w:rPr>
          <w:bCs/>
          <w:b/>
        </w:rPr>
        <w:t xml:space="preserve">BIC/SWIFT:</w:t>
      </w:r>
      <w:r>
        <w:t xml:space="preserve"> </w:t>
      </w:r>
      <w:r>
        <w:t xml:space="preserve">ABNANL2A</w:t>
      </w:r>
    </w:p>
    <w:p>
      <w:pPr>
        <w:numPr>
          <w:ilvl w:val="0"/>
          <w:numId w:val="1001"/>
        </w:numPr>
        <w:pStyle w:val="Compact"/>
      </w:pPr>
      <w:r>
        <w:rPr>
          <w:bCs/>
          <w:b/>
        </w:rPr>
        <w:t xml:space="preserve">Reference:</w:t>
      </w:r>
      <w:r>
        <w:t xml:space="preserve"> </w:t>
      </w:r>
      <w:r>
        <w:t xml:space="preserve">INV-2025-AM-0047 / PM-AMS-2025-019</w:t>
      </w:r>
    </w:p>
    <w:p>
      <w:pPr>
        <w:numPr>
          <w:ilvl w:val="0"/>
          <w:numId w:val="1001"/>
        </w:numPr>
        <w:pStyle w:val="Compact"/>
      </w:pPr>
      <w:r>
        <w:rPr>
          <w:bCs/>
          <w:b/>
        </w:rPr>
        <w:t xml:space="preserve">Late Payment:</w:t>
      </w:r>
      <w:r>
        <w:t xml:space="preserve"> </w:t>
      </w:r>
      <w:r>
        <w:t xml:space="preserve">In accordance with Article 6:119a of the Dutch Civil Code (Burgerlijk Wetboek), a late payment interest rate of 8% per annum shall apply to overdue amounts, in addition to a fixed recovery cost of € 40 per invoice.</w:t>
      </w:r>
    </w:p>
    <w:p>
      <w:pPr>
        <w:numPr>
          <w:ilvl w:val="0"/>
          <w:numId w:val="1001"/>
        </w:numPr>
        <w:pStyle w:val="Compact"/>
      </w:pPr>
      <w:r>
        <w:rPr>
          <w:bCs/>
          <w:b/>
        </w:rPr>
        <w:t xml:space="preserve">Disputes:</w:t>
      </w:r>
      <w:r>
        <w:t xml:space="preserve"> </w:t>
      </w:r>
      <w:r>
        <w:t xml:space="preserve">Any disputes arising from this invoice shall be resolved under the jurisdiction of the District Court of Amsterdam, The Netherlands.</w:t>
      </w:r>
    </w:p>
    <w:bookmarkEnd w:id="22"/>
    <w:p>
      <w:pPr>
        <w:pStyle w:val="FirstParagraph"/>
      </w:pPr>
      <w:r>
        <w:t xml:space="preserve">This invoice is issued in accordance with the Dutch Tax Administration (Belastingdienst) requirements for electronic invoicing. Amsterdam Project Solutions B.V. is registered with the Chamber of Commerce (Kamer van Koophandel) under number 87654321 and is VAT-registered in the Netherlands under number NL861234567B01. The services described herein were performed by a qualified Project Manager operating under the supervision and liability of Amsterdam Project Solutions B.V. All terms and conditions are governed by the master service agreement referenced above and applicable Dutch law. This invoice constitutes a valid payment request and, upon settlement, shall be considered fully discharged. Please retain this document for your accounting records in compliance with Dutch bookkeeping regulations (Wet op het accountantsberoep).</w:t>
      </w:r>
    </w:p>
    <w:p>
      <w:pPr>
        <w:pStyle w:val="BodyText"/>
      </w:pPr>
      <w:r>
        <w:t xml:space="preserve">Amsterdam Project Solutions B.V. · Herengracht 452, 1017 CA Amsterdam, The Netherlands · KvK 87654321 · BTW NL861234567B01</w:t>
      </w:r>
    </w:p>
    <w:p>
      <w:pPr>
        <w:pStyle w:val="BodyText"/>
      </w:pPr>
      <w:r>
        <w:t xml:space="preserve">Thank you for your business. We appreciate the opportunity to provide Project Manager services in Amsterdam, The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Amsterdam, Netherlands</dc:title>
  <dc:creator/>
  <dc:language>en</dc:language>
  <cp:keywords/>
  <dcterms:created xsi:type="dcterms:W3CDTF">2026-10-10T03:59:52Z</dcterms:created>
  <dcterms:modified xsi:type="dcterms:W3CDTF">2026-10-10T03:59:52Z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