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pb-digital-solutions-llc"/>
    <w:p>
      <w:pPr>
        <w:pStyle w:val="Heading1"/>
      </w:pPr>
      <w:r>
        <w:t xml:space="preserve">SPB Digital Solutions LLC</w:t>
      </w:r>
    </w:p>
    <w:p>
      <w:pPr>
        <w:pStyle w:val="FirstParagraph"/>
      </w:pPr>
      <w:r>
        <w:t xml:space="preserve">12 Nevsky Prospekt, Building 4, Floor 7</w:t>
      </w:r>
    </w:p>
    <w:p>
      <w:pPr>
        <w:pStyle w:val="BodyText"/>
      </w:pPr>
      <w:r>
        <w:t xml:space="preserve">Saint Petersburg, 191011, Russia</w:t>
      </w:r>
    </w:p>
    <w:p>
      <w:pPr>
        <w:pStyle w:val="BodyText"/>
      </w:pPr>
      <w:r>
        <w:t xml:space="preserve">Tax ID (INN): 7805123456</w:t>
      </w:r>
    </w:p>
    <w:p>
      <w:pPr>
        <w:pStyle w:val="BodyText"/>
      </w:pPr>
      <w:r>
        <w:t xml:space="preserve">Registration No. (OGRN): 1157800098765</w:t>
      </w:r>
    </w:p>
    <w:p>
      <w:pPr>
        <w:pStyle w:val="BodyText"/>
      </w:pPr>
      <w:r>
        <w:t xml:space="preserve">Email: billing@spb-digital.ru | Tel: +7 (812) 555-0142</w:t>
      </w:r>
    </w:p>
    <w:bookmarkEnd w:id="20"/>
    <w:bookmarkStart w:id="21" w:name="invoice"/>
    <w:p>
      <w:pPr>
        <w:pStyle w:val="Heading2"/>
      </w:pPr>
      <w:r>
        <w:t xml:space="preserve">INVOICE</w:t>
      </w:r>
    </w:p>
    <w:p>
      <w:pPr>
        <w:pStyle w:val="FirstParagraph"/>
      </w:pPr>
      <w:r>
        <w:t xml:space="preserve">Invoice No: SPB-PM-2025-0047</w:t>
      </w:r>
    </w:p>
    <w:p>
      <w:pPr>
        <w:pStyle w:val="BodyText"/>
      </w:pPr>
      <w:r>
        <w:t xml:space="preserve">Date Issued: 15 June 2025</w:t>
      </w:r>
    </w:p>
    <w:p>
      <w:pPr>
        <w:pStyle w:val="BodyText"/>
      </w:pPr>
      <w:r>
        <w:t xml:space="preserve">Due Date: 30 June 2025</w:t>
      </w:r>
    </w:p>
    <w:p>
      <w:pPr>
        <w:pStyle w:val="BodyText"/>
      </w:pPr>
      <w:r>
        <w:t xml:space="preserve">PROJECT MANAGER SERVICES</w:t>
      </w:r>
    </w:p>
    <w:bookmarkEnd w:id="21"/>
    <w:bookmarkStart w:id="22" w:name="billed-to-client"/>
    <w:p>
      <w:pPr>
        <w:pStyle w:val="Heading3"/>
      </w:pPr>
      <w:r>
        <w:t xml:space="preserve">Billed To (Client)</w:t>
      </w:r>
    </w:p>
    <w:p>
      <w:pPr>
        <w:pStyle w:val="FirstParagraph"/>
      </w:pPr>
      <w:r>
        <w:rPr>
          <w:bCs/>
          <w:b/>
        </w:rPr>
        <w:t xml:space="preserve">Northwind Industrial Group JSC</w:t>
      </w:r>
    </w:p>
    <w:p>
      <w:pPr>
        <w:pStyle w:val="BodyText"/>
      </w:pPr>
      <w:r>
        <w:t xml:space="preserve">45 Liteyny Avenue, Building 2</w:t>
      </w:r>
    </w:p>
    <w:p>
      <w:pPr>
        <w:pStyle w:val="BodyText"/>
      </w:pPr>
      <w:r>
        <w:t xml:space="preserve">Saint Petersburg, 190000, Russia</w:t>
      </w:r>
    </w:p>
    <w:p>
      <w:pPr>
        <w:pStyle w:val="BodyText"/>
      </w:pPr>
      <w:r>
        <w:t xml:space="preserve">Attn: Mr. Alexander Petrov, Chief Operations Officer</w:t>
      </w:r>
    </w:p>
    <w:p>
      <w:pPr>
        <w:pStyle w:val="BodyText"/>
      </w:pPr>
      <w:r>
        <w:t xml:space="preserve">Tax ID (INN): 7811987654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Digital Transformation Initiative</w:t>
      </w:r>
    </w:p>
    <w:p>
      <w:pPr>
        <w:pStyle w:val="BodyText"/>
      </w:pPr>
      <w:r>
        <w:rPr>
          <w:bCs/>
          <w:b/>
        </w:rPr>
        <w:t xml:space="preserve">Phase:</w:t>
      </w:r>
      <w:r>
        <w:t xml:space="preserve"> </w:t>
      </w:r>
      <w:r>
        <w:t xml:space="preserve">Q2 2025 – Integration &amp; Deployment</w:t>
      </w:r>
    </w:p>
    <w:p>
      <w:pPr>
        <w:pStyle w:val="BodyText"/>
      </w:pPr>
      <w:r>
        <w:rPr>
          <w:bCs/>
          <w:b/>
        </w:rPr>
        <w:t xml:space="preserve">Location:</w:t>
      </w:r>
      <w:r>
        <w:t xml:space="preserve"> </w:t>
      </w:r>
      <w:r>
        <w:t xml:space="preserve">Russia Saint Petersburg</w:t>
      </w:r>
    </w:p>
    <w:p>
      <w:pPr>
        <w:pStyle w:val="BodyText"/>
      </w:pPr>
      <w:r>
        <w:rPr>
          <w:bCs/>
          <w:b/>
        </w:rPr>
        <w:t xml:space="preserve">Contract Ref:</w:t>
      </w:r>
      <w:r>
        <w:t xml:space="preserve"> </w:t>
      </w:r>
      <w:r>
        <w:t xml:space="preserve">NIG-SPB-2025-0012</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SWIFT/BIC:</w:t>
      </w:r>
      <w:r>
        <w:t xml:space="preserve"> </w:t>
      </w:r>
      <w:r>
        <w:t xml:space="preserve">SABRRU33</w:t>
      </w:r>
    </w:p>
    <w:p>
      <w:pPr>
        <w:pStyle w:val="BodyText"/>
      </w:pPr>
      <w:r>
        <w:rPr>
          <w:bCs/>
          <w:b/>
        </w:rPr>
        <w:t xml:space="preserve">Corr. Account:</w:t>
      </w:r>
      <w:r>
        <w:t xml:space="preserve"> </w:t>
      </w:r>
      <w:r>
        <w:t xml:space="preserve">30101810400000000653</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(RUB/hr)</w:t>
            </w:r>
          </w:p>
        </w:tc>
        <w:tc>
          <w:tcPr/>
          <w:p>
            <w:pPr>
              <w:pStyle w:val="Compact"/>
              <w:jc w:val="left"/>
            </w:pPr>
            <w:r>
              <w:t xml:space="preserve">Hours</w:t>
            </w:r>
          </w:p>
        </w:tc>
        <w:tc>
          <w:tcPr/>
          <w:p>
            <w:pPr>
              <w:pStyle w:val="Compact"/>
              <w:jc w:val="left"/>
            </w:pPr>
            <w:r>
              <w:t xml:space="preserve">Amount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Project Manager – Overall Program Coordination &amp; Stakeholder Management for the Digital Transformation Initiative in Russia Saint Petersburg</w:t>
            </w:r>
          </w:p>
        </w:tc>
        <w:tc>
          <w:tcPr/>
          <w:p>
            <w:pPr>
              <w:pStyle w:val="Compact"/>
              <w:jc w:val="left"/>
            </w:pPr>
            <w:r>
              <w:t xml:space="preserve">2,800</w:t>
            </w:r>
          </w:p>
        </w:tc>
        <w:tc>
          <w:tcPr/>
          <w:p>
            <w:pPr>
              <w:pStyle w:val="Compact"/>
              <w:jc w:val="left"/>
            </w:pPr>
            <w:r>
              <w:t xml:space="preserve">80</w:t>
            </w:r>
          </w:p>
        </w:tc>
        <w:tc>
          <w:tcPr/>
          <w:p>
            <w:pPr>
              <w:pStyle w:val="Compact"/>
              <w:jc w:val="left"/>
            </w:pPr>
            <w:r>
              <w:t xml:space="preserve">224,000.00</w:t>
            </w:r>
          </w:p>
        </w:tc>
        <w:tc>
          <w:tcPr/>
          <w:p>
            <w:pPr>
              <w:pStyle w:val="Compact"/>
              <w:jc w:val="left"/>
            </w:pPr>
            <w:r>
              <w:t xml:space="preserve">01 Jun – 30 Jun 2025</w:t>
            </w:r>
          </w:p>
        </w:tc>
      </w:tr>
      <w:tr>
        <w:tc>
          <w:tcPr/>
          <w:p>
            <w:pPr>
              <w:pStyle w:val="Compact"/>
              <w:jc w:val="left"/>
            </w:pPr>
            <w:r>
              <w:t xml:space="preserve">2</w:t>
            </w:r>
          </w:p>
        </w:tc>
        <w:tc>
          <w:tcPr/>
          <w:p>
            <w:pPr>
              <w:pStyle w:val="Compact"/>
              <w:jc w:val="left"/>
            </w:pPr>
            <w:r>
              <w:t xml:space="preserve">Project Manager – Sprint Planning, Agile Scrum Facilitation, and Daily Stand-up Oversight for Cross-Functional Teams</w:t>
            </w:r>
          </w:p>
        </w:tc>
        <w:tc>
          <w:tcPr/>
          <w:p>
            <w:pPr>
              <w:pStyle w:val="Compact"/>
              <w:jc w:val="left"/>
            </w:pPr>
            <w:r>
              <w:t xml:space="preserve">2,800</w:t>
            </w:r>
          </w:p>
        </w:tc>
        <w:tc>
          <w:tcPr/>
          <w:p>
            <w:pPr>
              <w:pStyle w:val="Compact"/>
              <w:jc w:val="left"/>
            </w:pPr>
            <w:r>
              <w:t xml:space="preserve">40</w:t>
            </w:r>
          </w:p>
        </w:tc>
        <w:tc>
          <w:tcPr/>
          <w:p>
            <w:pPr>
              <w:pStyle w:val="Compact"/>
              <w:jc w:val="left"/>
            </w:pPr>
            <w:r>
              <w:t xml:space="preserve">112,000.00</w:t>
            </w:r>
          </w:p>
        </w:tc>
        <w:tc>
          <w:tcPr/>
          <w:p>
            <w:pPr>
              <w:pStyle w:val="Compact"/>
              <w:jc w:val="left"/>
            </w:pPr>
            <w:r>
              <w:t xml:space="preserve">01 Jun – 30 Jun 2025</w:t>
            </w:r>
          </w:p>
        </w:tc>
      </w:tr>
      <w:tr>
        <w:tc>
          <w:tcPr/>
          <w:p>
            <w:pPr>
              <w:pStyle w:val="Compact"/>
              <w:jc w:val="left"/>
            </w:pPr>
            <w:r>
              <w:t xml:space="preserve">3</w:t>
            </w:r>
          </w:p>
        </w:tc>
        <w:tc>
          <w:tcPr/>
          <w:p>
            <w:pPr>
              <w:pStyle w:val="Compact"/>
              <w:jc w:val="left"/>
            </w:pPr>
            <w:r>
              <w:t xml:space="preserve">Project Manager – Risk Assessment, Mitigation Strategy Development, and Vendor Contract Supervision</w:t>
            </w:r>
          </w:p>
        </w:tc>
        <w:tc>
          <w:tcPr/>
          <w:p>
            <w:pPr>
              <w:pStyle w:val="Compact"/>
              <w:jc w:val="left"/>
            </w:pPr>
            <w:r>
              <w:t xml:space="preserve">3,200</w:t>
            </w:r>
          </w:p>
        </w:tc>
        <w:tc>
          <w:tcPr/>
          <w:p>
            <w:pPr>
              <w:pStyle w:val="Compact"/>
              <w:jc w:val="left"/>
            </w:pPr>
            <w:r>
              <w:t xml:space="preserve">24</w:t>
            </w:r>
          </w:p>
        </w:tc>
        <w:tc>
          <w:tcPr/>
          <w:p>
            <w:pPr>
              <w:pStyle w:val="Compact"/>
              <w:jc w:val="left"/>
            </w:pPr>
            <w:r>
              <w:t xml:space="preserve">76,800.00</w:t>
            </w:r>
          </w:p>
        </w:tc>
        <w:tc>
          <w:tcPr/>
          <w:p>
            <w:pPr>
              <w:pStyle w:val="Compact"/>
              <w:jc w:val="left"/>
            </w:pPr>
            <w:r>
              <w:t xml:space="preserve">01 Jun – 30 Jun 2025</w:t>
            </w:r>
          </w:p>
        </w:tc>
      </w:tr>
      <w:tr>
        <w:tc>
          <w:tcPr/>
          <w:p>
            <w:pPr>
              <w:pStyle w:val="Compact"/>
              <w:jc w:val="left"/>
            </w:pPr>
            <w:r>
              <w:t xml:space="preserve">4</w:t>
            </w:r>
          </w:p>
        </w:tc>
        <w:tc>
          <w:tcPr/>
          <w:p>
            <w:pPr>
              <w:pStyle w:val="Compact"/>
              <w:jc w:val="left"/>
            </w:pPr>
            <w:r>
              <w:t xml:space="preserve">Project Manager – Budget Monitoring, Resource Allocation, and Monthly Financial Reporting to Client Leadership</w:t>
            </w:r>
          </w:p>
        </w:tc>
        <w:tc>
          <w:tcPr/>
          <w:p>
            <w:pPr>
              <w:pStyle w:val="Compact"/>
              <w:jc w:val="left"/>
            </w:pPr>
            <w:r>
              <w:t xml:space="preserve">2,800</w:t>
            </w:r>
          </w:p>
        </w:tc>
        <w:tc>
          <w:tcPr/>
          <w:p>
            <w:pPr>
              <w:pStyle w:val="Compact"/>
              <w:jc w:val="left"/>
            </w:pPr>
            <w:r>
              <w:t xml:space="preserve">16</w:t>
            </w:r>
          </w:p>
        </w:tc>
        <w:tc>
          <w:tcPr/>
          <w:p>
            <w:pPr>
              <w:pStyle w:val="Compact"/>
              <w:jc w:val="left"/>
            </w:pPr>
            <w:r>
              <w:t xml:space="preserve">44,800.00</w:t>
            </w:r>
          </w:p>
        </w:tc>
        <w:tc>
          <w:tcPr/>
          <w:p>
            <w:pPr>
              <w:pStyle w:val="Compact"/>
              <w:jc w:val="left"/>
            </w:pPr>
            <w:r>
              <w:t xml:space="preserve">01 Jun – 30 Jun 2025</w:t>
            </w:r>
          </w:p>
        </w:tc>
      </w:tr>
      <w:tr>
        <w:tc>
          <w:tcPr/>
          <w:p>
            <w:pPr>
              <w:pStyle w:val="Compact"/>
              <w:jc w:val="left"/>
            </w:pPr>
            <w:r>
              <w:t xml:space="preserve">5</w:t>
            </w:r>
          </w:p>
        </w:tc>
        <w:tc>
          <w:tcPr/>
          <w:p>
            <w:pPr>
              <w:pStyle w:val="Compact"/>
              <w:jc w:val="left"/>
            </w:pPr>
            <w:r>
              <w:t xml:space="preserve">Project Manager – On-Site Supervision at Client Facility, Saint Petersburg, Including Quality Assurance Reviews and Progress Audits</w:t>
            </w:r>
          </w:p>
        </w:tc>
        <w:tc>
          <w:tcPr/>
          <w:p>
            <w:pPr>
              <w:pStyle w:val="Compact"/>
              <w:jc w:val="left"/>
            </w:pPr>
            <w:r>
              <w:t xml:space="preserve">3,500</w:t>
            </w:r>
          </w:p>
        </w:tc>
        <w:tc>
          <w:tcPr/>
          <w:p>
            <w:pPr>
              <w:pStyle w:val="Compact"/>
              <w:jc w:val="left"/>
            </w:pPr>
            <w:r>
              <w:t xml:space="preserve">20</w:t>
            </w:r>
          </w:p>
        </w:tc>
        <w:tc>
          <w:tcPr/>
          <w:p>
            <w:pPr>
              <w:pStyle w:val="Compact"/>
              <w:jc w:val="left"/>
            </w:pPr>
            <w:r>
              <w:t xml:space="preserve">70,000.00</w:t>
            </w:r>
          </w:p>
        </w:tc>
        <w:tc>
          <w:tcPr/>
          <w:p>
            <w:pPr>
              <w:pStyle w:val="Compact"/>
              <w:jc w:val="left"/>
            </w:pPr>
            <w:r>
              <w:t xml:space="preserve">01 Jun – 30 Jun 2025</w:t>
            </w:r>
          </w:p>
        </w:tc>
      </w:tr>
      <w:tr>
        <w:tc>
          <w:tcPr/>
          <w:p>
            <w:pPr>
              <w:pStyle w:val="Compact"/>
              <w:jc w:val="left"/>
            </w:pPr>
            <w:r>
              <w:t xml:space="preserve">6</w:t>
            </w:r>
          </w:p>
        </w:tc>
        <w:tc>
          <w:tcPr/>
          <w:p>
            <w:pPr>
              <w:pStyle w:val="Compact"/>
              <w:jc w:val="left"/>
            </w:pPr>
            <w:r>
              <w:t xml:space="preserve">Project Manager – Final Phase Documentation, Handover Preparation, and Post-Implementation Support Planning</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33,600.00</w:t>
            </w:r>
          </w:p>
        </w:tc>
        <w:tc>
          <w:tcPr/>
          <w:p>
            <w:pPr>
              <w:pStyle w:val="Compact"/>
              <w:jc w:val="left"/>
            </w:pPr>
            <w:r>
              <w:t xml:space="preserve">01 Jun – 30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561,200.00 RUB</w:t>
            </w:r>
          </w:p>
        </w:tc>
      </w:tr>
      <w:tr>
        <w:tc>
          <w:tcPr/>
          <w:p>
            <w:pPr>
              <w:pStyle w:val="Compact"/>
              <w:jc w:val="left"/>
            </w:pPr>
            <w:r>
              <w:t xml:space="preserve">VAT (20%)</w:t>
            </w:r>
          </w:p>
        </w:tc>
        <w:tc>
          <w:tcPr/>
          <w:p>
            <w:pPr>
              <w:pStyle w:val="Compact"/>
              <w:jc w:val="left"/>
            </w:pPr>
            <w:r>
              <w:t xml:space="preserve">112,240.00 RUB</w:t>
            </w:r>
          </w:p>
        </w:tc>
      </w:tr>
      <w:tr>
        <w:tc>
          <w:tcPr/>
          <w:p>
            <w:pPr>
              <w:pStyle w:val="Compact"/>
              <w:jc w:val="left"/>
            </w:pPr>
            <w:r>
              <w:t xml:space="preserve">Travel &amp; Accommodation (Saint Petersburg)</w:t>
            </w:r>
          </w:p>
        </w:tc>
        <w:tc>
          <w:tcPr/>
          <w:p>
            <w:pPr>
              <w:pStyle w:val="Compact"/>
              <w:jc w:val="left"/>
            </w:pPr>
            <w:r>
              <w:t xml:space="preserve">18,500.00 RUB</w:t>
            </w:r>
          </w:p>
        </w:tc>
      </w:tr>
      <w:tr>
        <w:tc>
          <w:tcPr/>
          <w:p>
            <w:pPr>
              <w:pStyle w:val="Compact"/>
              <w:jc w:val="left"/>
            </w:pPr>
            <w:r>
              <w:t xml:space="preserve">Discount (Early Payment – 2%)</w:t>
            </w:r>
          </w:p>
        </w:tc>
        <w:tc>
          <w:tcPr/>
          <w:p>
            <w:pPr>
              <w:pStyle w:val="Compact"/>
              <w:jc w:val="left"/>
            </w:pPr>
            <w:r>
              <w:t xml:space="preserve">-11,224.00 RUB</w:t>
            </w:r>
          </w:p>
        </w:tc>
      </w:tr>
      <w:tr>
        <w:tc>
          <w:tcPr/>
          <w:p>
            <w:pPr>
              <w:pStyle w:val="Compact"/>
              <w:jc w:val="left"/>
            </w:pPr>
            <w:r>
              <w:t xml:space="preserve">TOTAL DUE</w:t>
            </w:r>
          </w:p>
        </w:tc>
        <w:tc>
          <w:tcPr/>
          <w:p>
            <w:pPr>
              <w:pStyle w:val="Compact"/>
              <w:jc w:val="left"/>
            </w:pPr>
            <w:r>
              <w:t xml:space="preserve">680,716.00 RUB</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SPB Digital Solutions LLC for professional Project Manager services rendered to Northwind Industrial Group JSC in connection with the Digital Transformation Initiative, executed in Russia Saint Petersburg during the period of June 2025.</w:t>
      </w:r>
    </w:p>
    <w:p>
      <w:pPr>
        <w:pStyle w:val="BodyText"/>
      </w:pPr>
      <w:r>
        <w:rPr>
          <w:bCs/>
          <w:b/>
        </w:rPr>
        <w:t xml:space="preserve">2.</w:t>
      </w:r>
      <w:r>
        <w:t xml:space="preserve"> </w:t>
      </w:r>
      <w:r>
        <w:t xml:space="preserve">Payment of this Invoice is due within fifteen (15) calendar days from the date of issue, no later than 30 June 2025. Payment shall be made via bank transfer to the account details specified above. All transactions are processed in Russian Rubles (RUB) in accordance with the Federal Law of the Russian Federation on Currency Regulation.</w:t>
      </w:r>
    </w:p>
    <w:p>
      <w:pPr>
        <w:pStyle w:val="BodyText"/>
      </w:pPr>
      <w:r>
        <w:rPr>
          <w:bCs/>
          <w:b/>
        </w:rPr>
        <w:t xml:space="preserve">3.</w:t>
      </w:r>
      <w:r>
        <w:t xml:space="preserve"> </w:t>
      </w:r>
      <w:r>
        <w:t xml:space="preserve">The Project Manager services described herein include full-time coordination, agile methodology facilitation, risk management, budget oversight, and on-site supervision as outlined in the master service agreement (Contract Ref: NIG-SPB-2025-0012) signed on 01 March 2025 in Saint Petersburg, Russia.</w:t>
      </w:r>
    </w:p>
    <w:p>
      <w:pPr>
        <w:pStyle w:val="BodyText"/>
      </w:pPr>
      <w:r>
        <w:rPr>
          <w:bCs/>
          <w:b/>
        </w:rPr>
        <w:t xml:space="preserve">4.</w:t>
      </w:r>
      <w:r>
        <w:t xml:space="preserve"> </w:t>
      </w:r>
      <w:r>
        <w:t xml:space="preserve">In the event of late payment, a penalty of 0.05% per calendar day of delay shall be applied to the outstanding balance, in compliance with Article 317.1 of the Civil Code of the Russian Federation. This penalty shall accrue from 01 July 2025 until the date of full settlement.</w:t>
      </w:r>
    </w:p>
    <w:p>
      <w:pPr>
        <w:pStyle w:val="BodyText"/>
      </w:pPr>
      <w:r>
        <w:rPr>
          <w:bCs/>
          <w:b/>
        </w:rPr>
        <w:t xml:space="preserve">5.</w:t>
      </w:r>
      <w:r>
        <w:t xml:space="preserve"> </w:t>
      </w:r>
      <w:r>
        <w:t xml:space="preserve">This Invoice is valid for a period of ninety (90) days from the date of issue. After the expiration of this period, the Invoice shall be considered void, and a revised Invoice must be requested in writing by the client.</w:t>
      </w:r>
    </w:p>
    <w:p>
      <w:pPr>
        <w:pStyle w:val="BodyText"/>
      </w:pPr>
      <w:r>
        <w:rPr>
          <w:bCs/>
          <w:b/>
        </w:rPr>
        <w:t xml:space="preserve">6.</w:t>
      </w:r>
      <w:r>
        <w:t xml:space="preserve"> </w:t>
      </w:r>
      <w:r>
        <w:t xml:space="preserve">All Project Manager deliverables, including sprint reports, risk registers, budget summaries, and phase completion certificates, have been submitted to the client's designated project coordinator via the shared project management platform (Jira/Confluence instance hosted in Saint Petersburg) prior to the issuance of this Invoice.</w:t>
      </w:r>
    </w:p>
    <w:p>
      <w:pPr>
        <w:pStyle w:val="BodyText"/>
      </w:pPr>
      <w:r>
        <w:rPr>
          <w:bCs/>
          <w:b/>
        </w:rPr>
        <w:t xml:space="preserve">7.</w:t>
      </w:r>
      <w:r>
        <w:t xml:space="preserve"> </w:t>
      </w:r>
      <w:r>
        <w:t xml:space="preserve">The client acknowledges that the Project Manager has fulfilled all obligations for the billing period as defined in the Statement of Work (SOW) Appendix B of the master agreement. No outstanding corrective actions or rework items remain as of the date of this Invoice.</w:t>
      </w:r>
    </w:p>
    <w:p>
      <w:pPr>
        <w:pStyle w:val="BodyText"/>
      </w:pPr>
      <w:r>
        <w:rPr>
          <w:bCs/>
          <w:b/>
        </w:rPr>
        <w:t xml:space="preserve">8.</w:t>
      </w:r>
      <w:r>
        <w:t xml:space="preserve"> </w:t>
      </w:r>
      <w:r>
        <w:t xml:space="preserve">This Invoice is subject to the jurisdiction of the Arbitration Court of Saint Petersburg and the Leningrad Region, Russia. Any disputes arising from this Invoice or the underlying services shall be resolved in accordance with the dispute resolution clause of the master service agreement.</w:t>
      </w:r>
    </w:p>
    <w:p>
      <w:pPr>
        <w:pStyle w:val="BodyText"/>
      </w:pPr>
      <w:r>
        <w:rPr>
          <w:bCs/>
          <w:b/>
        </w:rPr>
        <w:t xml:space="preserve">9.</w:t>
      </w:r>
      <w:r>
        <w:t xml:space="preserve"> </w:t>
      </w:r>
      <w:r>
        <w:t xml:space="preserve">For questions regarding this Invoice or the Project Manager engagement, please contact the billing department at billing@spb-digital.ru or by telephone at +7 (812) 555-0142, Monday through Friday, 09:00–18:00 Moscow Time (MSK).</w:t>
      </w:r>
    </w:p>
    <w:bookmarkEnd w:id="25"/>
    <w:p>
      <w:pPr>
        <w:pStyle w:val="BodyText"/>
      </w:pPr>
      <w:r>
        <w:t xml:space="preserve">SPB Digital Solutions LLC | INN 7805123456 | OGRN 1157800098765 | Saint Petersburg, Russia</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Invoice SPB-PM-2025-0047 | Page 1 of 1 | Generated: 15 June 2025, 14:32 MSK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Russia Saint Petersburg</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