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Project</w:t>
      </w:r>
      <w:r>
        <w:t xml:space="preserve"> </w:t>
      </w:r>
      <w:r>
        <w:t xml:space="preserve">Manager</w:t>
      </w:r>
      <w:r>
        <w:t xml:space="preserve"> </w:t>
      </w:r>
      <w:r>
        <w:t xml:space="preserve">Services</w:t>
      </w:r>
      <w:r>
        <w:t xml:space="preserve"> </w:t>
      </w:r>
      <w:r>
        <w:t xml:space="preserve">-</w:t>
      </w:r>
      <w:r>
        <w:t xml:space="preserve"> </w:t>
      </w:r>
      <w:r>
        <w:t xml:space="preserve">Saudi</w:t>
      </w:r>
      <w:r>
        <w:t xml:space="preserve"> </w:t>
      </w:r>
      <w:r>
        <w:t xml:space="preserve">Arabia</w:t>
      </w:r>
      <w:r>
        <w:t xml:space="preserve"> </w:t>
      </w:r>
      <w:r>
        <w:t xml:space="preserve">Riyadh</w:t>
      </w:r>
    </w:p>
    <w:bookmarkStart w:id="20" w:name="al-riyadh-project-solutions-ltd."/>
    <w:p>
      <w:pPr>
        <w:pStyle w:val="Heading1"/>
      </w:pPr>
      <w:r>
        <w:t xml:space="preserve">Al-Riyadh Project Solutions Ltd.</w:t>
      </w:r>
    </w:p>
    <w:p>
      <w:pPr>
        <w:pStyle w:val="FirstParagraph"/>
      </w:pPr>
      <w:r>
        <w:t xml:space="preserve">Office 1204, Kingdom Tower, King Fahd Road</w:t>
      </w:r>
    </w:p>
    <w:p>
      <w:pPr>
        <w:pStyle w:val="BodyText"/>
      </w:pPr>
      <w:r>
        <w:t xml:space="preserve">Saudi Arabia Riyadh, 12211</w:t>
      </w:r>
    </w:p>
    <w:p>
      <w:pPr>
        <w:pStyle w:val="BodyText"/>
      </w:pPr>
      <w:r>
        <w:t xml:space="preserve">VAT Registration No.: 310123456700003</w:t>
      </w:r>
    </w:p>
    <w:p>
      <w:pPr>
        <w:pStyle w:val="BodyText"/>
      </w:pPr>
      <w:r>
        <w:t xml:space="preserve">CR No.: 1010456789</w:t>
      </w:r>
    </w:p>
    <w:p>
      <w:pPr>
        <w:pStyle w:val="BodyText"/>
      </w:pPr>
      <w:r>
        <w:t xml:space="preserve">Email: billing@alriyadhprojects.com | Tel: +966 11 456 7890</w:t>
      </w:r>
    </w:p>
    <w:bookmarkEnd w:id="20"/>
    <w:bookmarkStart w:id="21" w:name="invoice"/>
    <w:p>
      <w:pPr>
        <w:pStyle w:val="Heading2"/>
      </w:pPr>
      <w:r>
        <w:t xml:space="preserve">INVOICE</w:t>
      </w:r>
    </w:p>
    <w:p>
      <w:pPr>
        <w:pStyle w:val="FirstParagraph"/>
      </w:pPr>
      <w:r>
        <w:t xml:space="preserve">Invoice No: ARPS-2025-00472</w:t>
      </w:r>
    </w:p>
    <w:p>
      <w:pPr>
        <w:pStyle w:val="BodyText"/>
      </w:pPr>
      <w:r>
        <w:t xml:space="preserve">Date of Issue: 15 June 2025</w:t>
      </w:r>
    </w:p>
    <w:p>
      <w:pPr>
        <w:pStyle w:val="BodyText"/>
      </w:pPr>
      <w:r>
        <w:t xml:space="preserve">Due Date: 15 July 2025</w:t>
      </w:r>
    </w:p>
    <w:p>
      <w:pPr>
        <w:pStyle w:val="BodyText"/>
      </w:pPr>
      <w:r>
        <w:t xml:space="preserve">PROJECT MANAGER SERVICES</w:t>
      </w:r>
    </w:p>
    <w:bookmarkEnd w:id="21"/>
    <w:bookmarkStart w:id="22" w:name="billed-to"/>
    <w:p>
      <w:pPr>
        <w:pStyle w:val="Heading3"/>
      </w:pPr>
      <w:r>
        <w:t xml:space="preserve">Billed To</w:t>
      </w:r>
    </w:p>
    <w:p>
      <w:pPr>
        <w:pStyle w:val="FirstParagraph"/>
      </w:pPr>
      <w:r>
        <w:rPr>
          <w:bCs/>
          <w:b/>
        </w:rPr>
        <w:t xml:space="preserve">Al-Nakheel Development Group</w:t>
      </w:r>
    </w:p>
    <w:p>
      <w:pPr>
        <w:pStyle w:val="BodyText"/>
      </w:pPr>
      <w:r>
        <w:t xml:space="preserve">Attn: Mr. Khalid Al-Otaibi, Chief Operations Officer</w:t>
      </w:r>
    </w:p>
    <w:p>
      <w:pPr>
        <w:pStyle w:val="BodyText"/>
      </w:pPr>
      <w:r>
        <w:t xml:space="preserve">Headquarters, Olaya District</w:t>
      </w:r>
    </w:p>
    <w:p>
      <w:pPr>
        <w:pStyle w:val="BodyText"/>
      </w:pPr>
      <w:r>
        <w:t xml:space="preserve">Saudi Arabia Riyadh, 12212</w:t>
      </w:r>
    </w:p>
    <w:p>
      <w:pPr>
        <w:pStyle w:val="BodyText"/>
      </w:pPr>
      <w:r>
        <w:t xml:space="preserve">VAT No.: 310987654300003</w:t>
      </w:r>
    </w:p>
    <w:bookmarkEnd w:id="22"/>
    <w:bookmarkStart w:id="23" w:name="project-reference"/>
    <w:p>
      <w:pPr>
        <w:pStyle w:val="Heading3"/>
      </w:pPr>
      <w:r>
        <w:t xml:space="preserve">Project Reference</w:t>
      </w:r>
    </w:p>
    <w:p>
      <w:pPr>
        <w:pStyle w:val="FirstParagraph"/>
      </w:pPr>
      <w:r>
        <w:t xml:space="preserve">Project: Olaya Commercial Tower Phase II</w:t>
      </w:r>
    </w:p>
    <w:p>
      <w:pPr>
        <w:pStyle w:val="BodyText"/>
      </w:pPr>
      <w:r>
        <w:t xml:space="preserve">Contract No: NKG-CT-2025-018</w:t>
      </w:r>
    </w:p>
    <w:p>
      <w:pPr>
        <w:pStyle w:val="BodyText"/>
      </w:pPr>
      <w:r>
        <w:t xml:space="preserve">Scope: Project Manager Oversight &amp; Delivery</w:t>
      </w:r>
    </w:p>
    <w:p>
      <w:pPr>
        <w:pStyle w:val="BodyText"/>
      </w:pPr>
      <w:r>
        <w:t xml:space="preserve">Location: Saudi Arabia Riyadh</w:t>
      </w:r>
    </w:p>
    <w:bookmarkEnd w:id="23"/>
    <w:bookmarkStart w:id="24" w:name="payment-details"/>
    <w:p>
      <w:pPr>
        <w:pStyle w:val="Heading3"/>
      </w:pPr>
      <w:r>
        <w:t xml:space="preserve">Payment Details</w:t>
      </w:r>
    </w:p>
    <w:p>
      <w:pPr>
        <w:pStyle w:val="FirstParagraph"/>
      </w:pPr>
      <w:r>
        <w:t xml:space="preserve">Bank: Saudi National Bank</w:t>
      </w:r>
    </w:p>
    <w:p>
      <w:pPr>
        <w:pStyle w:val="BodyText"/>
      </w:pPr>
      <w:r>
        <w:t xml:space="preserve">IBAN: SA03 8000 0000 6080 1016 7519</w:t>
      </w:r>
    </w:p>
    <w:p>
      <w:pPr>
        <w:pStyle w:val="BodyText"/>
      </w:pPr>
      <w:r>
        <w:t xml:space="preserve">SWIFT: SNBLSARI</w:t>
      </w:r>
    </w:p>
    <w:p>
      <w:pPr>
        <w:pStyle w:val="BodyText"/>
      </w:pPr>
      <w:r>
        <w:t xml:space="preserve">Reference: ARPS-2025-00472</w:t>
      </w:r>
    </w:p>
    <w:bookmarkEnd w:id="24"/>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Role</w:t>
            </w:r>
          </w:p>
        </w:tc>
        <w:tc>
          <w:tcPr/>
          <w:p>
            <w:pPr>
              <w:pStyle w:val="Compact"/>
              <w:jc w:val="left"/>
            </w:pPr>
            <w:r>
              <w:t xml:space="preserve">Duration</w:t>
            </w:r>
          </w:p>
        </w:tc>
        <w:tc>
          <w:tcPr/>
          <w:p>
            <w:pPr>
              <w:pStyle w:val="Compact"/>
              <w:jc w:val="left"/>
            </w:pPr>
            <w:r>
              <w:t xml:space="preserve">Rate (SAR)</w:t>
            </w:r>
          </w:p>
        </w:tc>
        <w:tc>
          <w:tcPr/>
          <w:p>
            <w:pPr>
              <w:pStyle w:val="Compact"/>
              <w:jc w:val="left"/>
            </w:pPr>
            <w:r>
              <w:t xml:space="preserve">Amount (SAR)</w:t>
            </w:r>
          </w:p>
        </w:tc>
        <w:tc>
          <w:tcPr/>
          <w:p>
            <w:pPr>
              <w:pStyle w:val="Compact"/>
              <w:jc w:val="left"/>
            </w:pPr>
            <w:r>
              <w:t xml:space="preserve">VAT 15%</w:t>
            </w:r>
          </w:p>
        </w:tc>
      </w:tr>
      <w:tr>
        <w:tc>
          <w:tcPr/>
          <w:p>
            <w:pPr>
              <w:pStyle w:val="Compact"/>
              <w:jc w:val="left"/>
            </w:pPr>
            <w:r>
              <w:t xml:space="preserve">1</w:t>
            </w:r>
          </w:p>
        </w:tc>
        <w:tc>
          <w:tcPr/>
          <w:p>
            <w:pPr>
              <w:pStyle w:val="Compact"/>
              <w:jc w:val="left"/>
            </w:pPr>
            <w:r>
              <w:t xml:space="preserve">Senior Project Manager – Overall project governance, stakeholder coordination, and delivery management for Olaya Commercial Tower Phase II in Saudi Arabia Riyadh</w:t>
            </w:r>
          </w:p>
        </w:tc>
        <w:tc>
          <w:tcPr/>
          <w:p>
            <w:pPr>
              <w:pStyle w:val="Compact"/>
              <w:jc w:val="left"/>
            </w:pPr>
            <w:r>
              <w:t xml:space="preserve">Project Manager</w:t>
            </w:r>
          </w:p>
        </w:tc>
        <w:tc>
          <w:tcPr/>
          <w:p>
            <w:pPr>
              <w:pStyle w:val="Compact"/>
              <w:jc w:val="left"/>
            </w:pPr>
            <w:r>
              <w:t xml:space="preserve">Jan – Mar 2025</w:t>
            </w:r>
          </w:p>
        </w:tc>
        <w:tc>
          <w:tcPr/>
          <w:p>
            <w:pPr>
              <w:pStyle w:val="Compact"/>
              <w:jc w:val="left"/>
            </w:pPr>
            <w:r>
              <w:t xml:space="preserve">45,000/mo</w:t>
            </w:r>
          </w:p>
        </w:tc>
        <w:tc>
          <w:tcPr/>
          <w:p>
            <w:pPr>
              <w:pStyle w:val="Compact"/>
              <w:jc w:val="left"/>
            </w:pPr>
            <w:r>
              <w:t xml:space="preserve">135,000.00</w:t>
            </w:r>
          </w:p>
        </w:tc>
        <w:tc>
          <w:tcPr/>
          <w:p>
            <w:pPr>
              <w:pStyle w:val="Compact"/>
              <w:jc w:val="left"/>
            </w:pPr>
            <w:r>
              <w:t xml:space="preserve">20,250.00</w:t>
            </w:r>
          </w:p>
        </w:tc>
      </w:tr>
      <w:tr>
        <w:tc>
          <w:tcPr/>
          <w:p>
            <w:pPr>
              <w:pStyle w:val="Compact"/>
              <w:jc w:val="left"/>
            </w:pPr>
            <w:r>
              <w:t xml:space="preserve">2</w:t>
            </w:r>
          </w:p>
        </w:tc>
        <w:tc>
          <w:tcPr/>
          <w:p>
            <w:pPr>
              <w:pStyle w:val="Compact"/>
              <w:jc w:val="left"/>
            </w:pPr>
            <w:r>
              <w:t xml:space="preserve">Project Manager – Risk management, schedule optimization, and resource allocation across all construction disciplines</w:t>
            </w:r>
          </w:p>
        </w:tc>
        <w:tc>
          <w:tcPr/>
          <w:p>
            <w:pPr>
              <w:pStyle w:val="Compact"/>
              <w:jc w:val="left"/>
            </w:pPr>
            <w:r>
              <w:t xml:space="preserve">Project Manager</w:t>
            </w:r>
          </w:p>
        </w:tc>
        <w:tc>
          <w:tcPr/>
          <w:p>
            <w:pPr>
              <w:pStyle w:val="Compact"/>
              <w:jc w:val="left"/>
            </w:pPr>
            <w:r>
              <w:t xml:space="preserve">Apr – Jun 2025</w:t>
            </w:r>
          </w:p>
        </w:tc>
        <w:tc>
          <w:tcPr/>
          <w:p>
            <w:pPr>
              <w:pStyle w:val="Compact"/>
              <w:jc w:val="left"/>
            </w:pPr>
            <w:r>
              <w:t xml:space="preserve">45,000/mo</w:t>
            </w:r>
          </w:p>
        </w:tc>
        <w:tc>
          <w:tcPr/>
          <w:p>
            <w:pPr>
              <w:pStyle w:val="Compact"/>
              <w:jc w:val="left"/>
            </w:pPr>
            <w:r>
              <w:t xml:space="preserve">135,000.00</w:t>
            </w:r>
          </w:p>
        </w:tc>
        <w:tc>
          <w:tcPr/>
          <w:p>
            <w:pPr>
              <w:pStyle w:val="Compact"/>
              <w:jc w:val="left"/>
            </w:pPr>
            <w:r>
              <w:t xml:space="preserve">20,250.00</w:t>
            </w:r>
          </w:p>
        </w:tc>
      </w:tr>
      <w:tr>
        <w:tc>
          <w:tcPr/>
          <w:p>
            <w:pPr>
              <w:pStyle w:val="Compact"/>
              <w:jc w:val="left"/>
            </w:pPr>
            <w:r>
              <w:t xml:space="preserve">3</w:t>
            </w:r>
          </w:p>
        </w:tc>
        <w:tc>
          <w:tcPr/>
          <w:p>
            <w:pPr>
              <w:pStyle w:val="Compact"/>
              <w:jc w:val="left"/>
            </w:pPr>
            <w:r>
              <w:t xml:space="preserve">Project Manager – Quality assurance oversight, compliance with Saudi Building Code, and municipal inspection coordination in Saudi Arabia Riyadh</w:t>
            </w:r>
          </w:p>
        </w:tc>
        <w:tc>
          <w:tcPr/>
          <w:p>
            <w:pPr>
              <w:pStyle w:val="Compact"/>
              <w:jc w:val="left"/>
            </w:pPr>
            <w:r>
              <w:t xml:space="preserve">Project Manager</w:t>
            </w:r>
          </w:p>
        </w:tc>
        <w:tc>
          <w:tcPr/>
          <w:p>
            <w:pPr>
              <w:pStyle w:val="Compact"/>
              <w:jc w:val="left"/>
            </w:pPr>
            <w:r>
              <w:t xml:space="preserve">Apr – Jun 2025</w:t>
            </w:r>
          </w:p>
        </w:tc>
        <w:tc>
          <w:tcPr/>
          <w:p>
            <w:pPr>
              <w:pStyle w:val="Compact"/>
              <w:jc w:val="left"/>
            </w:pPr>
            <w:r>
              <w:t xml:space="preserve">18,000/mo</w:t>
            </w:r>
          </w:p>
        </w:tc>
        <w:tc>
          <w:tcPr/>
          <w:p>
            <w:pPr>
              <w:pStyle w:val="Compact"/>
              <w:jc w:val="left"/>
            </w:pPr>
            <w:r>
              <w:t xml:space="preserve">54,000.00</w:t>
            </w:r>
          </w:p>
        </w:tc>
        <w:tc>
          <w:tcPr/>
          <w:p>
            <w:pPr>
              <w:pStyle w:val="Compact"/>
              <w:jc w:val="left"/>
            </w:pPr>
            <w:r>
              <w:t xml:space="preserve">8,100.00</w:t>
            </w:r>
          </w:p>
        </w:tc>
      </w:tr>
      <w:tr>
        <w:tc>
          <w:tcPr/>
          <w:p>
            <w:pPr>
              <w:pStyle w:val="Compact"/>
              <w:jc w:val="left"/>
            </w:pPr>
            <w:r>
              <w:t xml:space="preserve">4</w:t>
            </w:r>
          </w:p>
        </w:tc>
        <w:tc>
          <w:tcPr/>
          <w:p>
            <w:pPr>
              <w:pStyle w:val="Compact"/>
              <w:jc w:val="left"/>
            </w:pPr>
            <w:r>
              <w:t xml:space="preserve">Project Manager – Client reporting, progress dashboards, and monthly executive presentations to Al-Nakheel Development Group board</w:t>
            </w:r>
          </w:p>
        </w:tc>
        <w:tc>
          <w:tcPr/>
          <w:p>
            <w:pPr>
              <w:pStyle w:val="Compact"/>
              <w:jc w:val="left"/>
            </w:pPr>
            <w:r>
              <w:t xml:space="preserve">Project Manager</w:t>
            </w:r>
          </w:p>
        </w:tc>
        <w:tc>
          <w:tcPr/>
          <w:p>
            <w:pPr>
              <w:pStyle w:val="Compact"/>
              <w:jc w:val="left"/>
            </w:pPr>
            <w:r>
              <w:t xml:space="preserve">Jan – Jun 2025</w:t>
            </w:r>
          </w:p>
        </w:tc>
        <w:tc>
          <w:tcPr/>
          <w:p>
            <w:pPr>
              <w:pStyle w:val="Compact"/>
              <w:jc w:val="left"/>
            </w:pPr>
            <w:r>
              <w:t xml:space="preserve">8,500/mo</w:t>
            </w:r>
          </w:p>
        </w:tc>
        <w:tc>
          <w:tcPr/>
          <w:p>
            <w:pPr>
              <w:pStyle w:val="Compact"/>
              <w:jc w:val="left"/>
            </w:pPr>
            <w:r>
              <w:t xml:space="preserve">51,000.00</w:t>
            </w:r>
          </w:p>
        </w:tc>
        <w:tc>
          <w:tcPr/>
          <w:p>
            <w:pPr>
              <w:pStyle w:val="Compact"/>
              <w:jc w:val="left"/>
            </w:pPr>
            <w:r>
              <w:t xml:space="preserve">7,650.00</w:t>
            </w:r>
          </w:p>
        </w:tc>
      </w:tr>
      <w:tr>
        <w:tc>
          <w:tcPr/>
          <w:p>
            <w:pPr>
              <w:pStyle w:val="Compact"/>
              <w:jc w:val="left"/>
            </w:pPr>
            <w:r>
              <w:t xml:space="preserve">5</w:t>
            </w:r>
          </w:p>
        </w:tc>
        <w:tc>
          <w:tcPr/>
          <w:p>
            <w:pPr>
              <w:pStyle w:val="Compact"/>
              <w:jc w:val="left"/>
            </w:pPr>
            <w:r>
              <w:t xml:space="preserve">Project Manager – Subcontractor contract administration, variation order processing, and cost control for the Saudi Arabia Riyadh site</w:t>
            </w:r>
          </w:p>
        </w:tc>
        <w:tc>
          <w:tcPr/>
          <w:p>
            <w:pPr>
              <w:pStyle w:val="Compact"/>
              <w:jc w:val="left"/>
            </w:pPr>
            <w:r>
              <w:t xml:space="preserve">Project Manager</w:t>
            </w:r>
          </w:p>
        </w:tc>
        <w:tc>
          <w:tcPr/>
          <w:p>
            <w:pPr>
              <w:pStyle w:val="Compact"/>
              <w:jc w:val="left"/>
            </w:pPr>
            <w:r>
              <w:t xml:space="preserve">Jan – Jun 2025</w:t>
            </w:r>
          </w:p>
        </w:tc>
        <w:tc>
          <w:tcPr/>
          <w:p>
            <w:pPr>
              <w:pStyle w:val="Compact"/>
              <w:jc w:val="left"/>
            </w:pPr>
            <w:r>
              <w:t xml:space="preserve">12,000/mo</w:t>
            </w:r>
          </w:p>
        </w:tc>
        <w:tc>
          <w:tcPr/>
          <w:p>
            <w:pPr>
              <w:pStyle w:val="Compact"/>
              <w:jc w:val="left"/>
            </w:pPr>
            <w:r>
              <w:t xml:space="preserve">72,000.00</w:t>
            </w:r>
          </w:p>
        </w:tc>
        <w:tc>
          <w:tcPr/>
          <w:p>
            <w:pPr>
              <w:pStyle w:val="Compact"/>
              <w:jc w:val="left"/>
            </w:pPr>
            <w:r>
              <w:t xml:space="preserve">10,800.00</w:t>
            </w:r>
          </w:p>
        </w:tc>
      </w:tr>
      <w:tr>
        <w:tc>
          <w:tcPr/>
          <w:p>
            <w:pPr>
              <w:pStyle w:val="Compact"/>
              <w:jc w:val="left"/>
            </w:pPr>
            <w:r>
              <w:t xml:space="preserve">6</w:t>
            </w:r>
          </w:p>
        </w:tc>
        <w:tc>
          <w:tcPr/>
          <w:p>
            <w:pPr>
              <w:pStyle w:val="Compact"/>
              <w:jc w:val="left"/>
            </w:pPr>
            <w:r>
              <w:t xml:space="preserve">Project Manager – Health, Safety &amp; Environment (HSE) compliance monitoring and incident reporting per Saudi Arabian labor regulations</w:t>
            </w:r>
          </w:p>
        </w:tc>
        <w:tc>
          <w:tcPr/>
          <w:p>
            <w:pPr>
              <w:pStyle w:val="Compact"/>
              <w:jc w:val="left"/>
            </w:pPr>
            <w:r>
              <w:t xml:space="preserve">Project Manager</w:t>
            </w:r>
          </w:p>
        </w:tc>
        <w:tc>
          <w:tcPr/>
          <w:p>
            <w:pPr>
              <w:pStyle w:val="Compact"/>
              <w:jc w:val="left"/>
            </w:pPr>
            <w:r>
              <w:t xml:space="preserve">Jan – Jun 2025</w:t>
            </w:r>
          </w:p>
        </w:tc>
        <w:tc>
          <w:tcPr/>
          <w:p>
            <w:pPr>
              <w:pStyle w:val="Compact"/>
              <w:jc w:val="left"/>
            </w:pPr>
            <w:r>
              <w:t xml:space="preserve">6,500/mo</w:t>
            </w:r>
          </w:p>
        </w:tc>
        <w:tc>
          <w:tcPr/>
          <w:p>
            <w:pPr>
              <w:pStyle w:val="Compact"/>
              <w:jc w:val="left"/>
            </w:pPr>
            <w:r>
              <w:t xml:space="preserve">39,000.00</w:t>
            </w:r>
          </w:p>
        </w:tc>
        <w:tc>
          <w:tcPr/>
          <w:p>
            <w:pPr>
              <w:pStyle w:val="Compact"/>
              <w:jc w:val="left"/>
            </w:pPr>
            <w:r>
              <w:t xml:space="preserve">5,850.00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(SAR)</w:t>
            </w:r>
          </w:p>
        </w:tc>
        <w:tc>
          <w:tcPr/>
          <w:p>
            <w:pPr>
              <w:pStyle w:val="Compact"/>
              <w:jc w:val="right"/>
            </w:pPr>
            <w:r>
              <w:t xml:space="preserve">486,000.00</w:t>
            </w:r>
          </w:p>
        </w:tc>
      </w:tr>
      <w:tr>
        <w:tc>
          <w:tcPr/>
          <w:p>
            <w:pPr>
              <w:pStyle w:val="Compact"/>
              <w:jc w:val="left"/>
            </w:pPr>
            <w:r>
              <w:t xml:space="preserve">VAT @ 15% (SAR)</w:t>
            </w:r>
          </w:p>
        </w:tc>
        <w:tc>
          <w:tcPr/>
          <w:p>
            <w:pPr>
              <w:pStyle w:val="Compact"/>
              <w:jc w:val="right"/>
            </w:pPr>
            <w:r>
              <w:t xml:space="preserve">72,900.00</w:t>
            </w:r>
          </w:p>
        </w:tc>
      </w:tr>
      <w:tr>
        <w:tc>
          <w:tcPr/>
          <w:p>
            <w:pPr>
              <w:pStyle w:val="Compact"/>
              <w:jc w:val="left"/>
            </w:pPr>
            <w:r>
              <w:t xml:space="preserve">Discount (SAR)</w:t>
            </w:r>
          </w:p>
        </w:tc>
        <w:tc>
          <w:tcPr/>
          <w:p>
            <w:pPr>
              <w:pStyle w:val="Compact"/>
              <w:jc w:val="right"/>
            </w:pPr>
            <w:r>
              <w:t xml:space="preserve">(5,000.00)</w:t>
            </w:r>
          </w:p>
        </w:tc>
      </w:tr>
      <w:tr>
        <w:tc>
          <w:tcPr/>
          <w:p>
            <w:pPr>
              <w:pStyle w:val="Compact"/>
              <w:jc w:val="left"/>
            </w:pPr>
            <w:r>
              <w:t xml:space="preserve">GRAND TOTAL (SAR)</w:t>
            </w:r>
          </w:p>
        </w:tc>
        <w:tc>
          <w:tcPr/>
          <w:p>
            <w:pPr>
              <w:pStyle w:val="Compact"/>
              <w:jc w:val="right"/>
            </w:pPr>
            <w:r>
              <w:t xml:space="preserve">553,900.00</w:t>
            </w:r>
          </w:p>
        </w:tc>
      </w:tr>
    </w:tbl>
    <w:bookmarkStart w:id="25" w:name="invoice-terms-conditions"/>
    <w:p>
      <w:pPr>
        <w:pStyle w:val="Heading3"/>
      </w:pPr>
      <w:r>
        <w:t xml:space="preserve">Invoice Terms &amp; Conditions</w:t>
      </w:r>
    </w:p>
    <w:p>
      <w:pPr>
        <w:pStyle w:val="FirstParagraph"/>
      </w:pPr>
      <w:r>
        <w:rPr>
          <w:bCs/>
          <w:b/>
        </w:rPr>
        <w:t xml:space="preserve">1.</w:t>
      </w:r>
      <w:r>
        <w:t xml:space="preserve"> </w:t>
      </w:r>
      <w:r>
        <w:t xml:space="preserve">This Invoice is issued in accordance with the Master Service Agreement (Contract No: NKG-CT-2025-018) between Al-Riyadh Project Solutions Ltd. and Al-Nakheel Development Group for the provision of Project Manager services at the Olaya Commercial Tower Phase II site, Saudi Arabia Riyadh.</w:t>
      </w:r>
    </w:p>
    <w:p>
      <w:pPr>
        <w:pStyle w:val="BodyText"/>
      </w:pPr>
      <w:r>
        <w:rPr>
          <w:bCs/>
          <w:b/>
        </w:rPr>
        <w:t xml:space="preserve">2.</w:t>
      </w:r>
      <w:r>
        <w:t xml:space="preserve"> </w:t>
      </w:r>
      <w:r>
        <w:t xml:space="preserve">Payment is due within thirty (30) calendar days from the date of this Invoice. Late payments shall attract a penalty of 1.5% per month as per Saudi Arabian commercial law.</w:t>
      </w:r>
    </w:p>
    <w:p>
      <w:pPr>
        <w:pStyle w:val="BodyText"/>
      </w:pPr>
      <w:r>
        <w:rPr>
          <w:bCs/>
          <w:b/>
        </w:rPr>
        <w:t xml:space="preserve">3.</w:t>
      </w:r>
      <w:r>
        <w:t xml:space="preserve"> </w:t>
      </w:r>
      <w:r>
        <w:t xml:space="preserve">All amounts stated in this Invoice are in Saudi Riyals (SAR). The 15% Value Added Tax (VAT) has been applied in compliance with the Zakat, Tax and Customs Authority (ZATCA) regulations of Saudi Arabia.</w:t>
      </w:r>
    </w:p>
    <w:p>
      <w:pPr>
        <w:pStyle w:val="BodyText"/>
      </w:pPr>
      <w:r>
        <w:rPr>
          <w:bCs/>
          <w:b/>
        </w:rPr>
        <w:t xml:space="preserve">4.</w:t>
      </w:r>
      <w:r>
        <w:t xml:space="preserve"> </w:t>
      </w:r>
      <w:r>
        <w:t xml:space="preserve">The Project Manager services described herein include on-site presence at the Saudi Arabia Riyadh project location for a minimum of five (5) working days per week, with remote availability for urgent matters outside standard working hours.</w:t>
      </w:r>
    </w:p>
    <w:p>
      <w:pPr>
        <w:pStyle w:val="BodyText"/>
      </w:pPr>
      <w:r>
        <w:rPr>
          <w:bCs/>
          <w:b/>
        </w:rPr>
        <w:t xml:space="preserve">5.</w:t>
      </w:r>
      <w:r>
        <w:t xml:space="preserve"> </w:t>
      </w:r>
      <w:r>
        <w:t xml:space="preserve">Any disputes arising from this Invoice shall be resolved through the Saudi Center for Commercial Arbitration (SCCA) in Riyadh, in accordance with the dispute resolution clause of the governing contract.</w:t>
      </w:r>
    </w:p>
    <w:p>
      <w:pPr>
        <w:pStyle w:val="BodyText"/>
      </w:pPr>
      <w:r>
        <w:rPr>
          <w:bCs/>
          <w:b/>
        </w:rPr>
        <w:t xml:space="preserve">6.</w:t>
      </w:r>
      <w:r>
        <w:t xml:space="preserve"> </w:t>
      </w:r>
      <w:r>
        <w:t xml:space="preserve">This Invoice is valid for a period of ninety (90) days from the date of issue. After this period, the charges may be subject to revision based on prevailing market rates for Project Manager expertise in Saudi Arabia Riyadh.</w:t>
      </w:r>
    </w:p>
    <w:p>
      <w:pPr>
        <w:pStyle w:val="BodyText"/>
      </w:pPr>
      <w:r>
        <w:rPr>
          <w:bCs/>
          <w:b/>
        </w:rPr>
        <w:t xml:space="preserve">7.</w:t>
      </w:r>
      <w:r>
        <w:t xml:space="preserve"> </w:t>
      </w:r>
      <w:r>
        <w:t xml:space="preserve">The Project Manager shall maintain professional indemnity insurance with a minimum coverage of SAR 5,000,000 throughout the duration of the engagement, as required by Saudi Arabian regulatory authorities.</w:t>
      </w:r>
    </w:p>
    <w:bookmarkEnd w:id="25"/>
    <w:p>
      <w:pPr>
        <w:pStyle w:val="BodyText"/>
      </w:pPr>
      <w:r>
        <w:rPr>
          <w:bCs/>
          <w:b/>
        </w:rPr>
        <w:t xml:space="preserve">Al-Riyadh Project Solutions Ltd.</w:t>
      </w:r>
      <w:r>
        <w:t xml:space="preserve"> </w:t>
      </w:r>
      <w:r>
        <w:t xml:space="preserve">| Saudi Arabia Riyadh, 12211 | CR: 1010456789 | VAT: 310123456700003</w:t>
      </w:r>
    </w:p>
    <w:p>
      <w:pPr>
        <w:pStyle w:val="BodyText"/>
      </w:pPr>
      <w:r>
        <w:t xml:space="preserve">This Invoice has been generated electronically and is valid without a physical signature in accordance with Saudi Arabian e-transaction regulations.</w:t>
      </w:r>
    </w:p>
    <w:p>
      <w:pPr>
        <w:pStyle w:val="BodyText"/>
      </w:pPr>
      <w:r>
        <w:t xml:space="preserve">For queries regarding this Invoice, please contact our billing department at billing@alriyadhprojects.com or +966 11 456 7890, Monday to Friday, 8:00 AM – 4:30 PM (AST).</w:t>
      </w:r>
    </w:p>
    <w:p>
      <w:pPr>
        <w:pStyle w:val="BodyText"/>
      </w:pPr>
      <w:r>
        <w:t xml:space="preserve">© 2025 Al-Riyadh Project Solutions Ltd. All rights reserved. This document is the property of the issuing entity and is intended solely for the addressee.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Project Manager Services - Saudi Arabia Riyadh</dc:title>
  <dc:creator/>
  <dc:language>en</dc:language>
  <cp:keywords/>
  <dcterms:created xsi:type="dcterms:W3CDTF">2026-10-10T03:31:46Z</dcterms:created>
  <dcterms:modified xsi:type="dcterms:W3CDTF">2026-10-10T03:31:46Z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