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meridian-project-solutions-llc"/>
    <w:p>
      <w:pPr>
        <w:pStyle w:val="Heading1"/>
      </w:pPr>
      <w:r>
        <w:t xml:space="preserve">Meridian Project Solutions LLC</w:t>
      </w:r>
    </w:p>
    <w:p>
      <w:pPr>
        <w:pStyle w:val="FirstParagraph"/>
      </w:pPr>
      <w:r>
        <w:t xml:space="preserve">Office 1204, Level 12, Al Reem Island Tower</w:t>
      </w:r>
    </w:p>
    <w:p>
      <w:pPr>
        <w:pStyle w:val="BodyText"/>
      </w:pPr>
      <w:r>
        <w:t xml:space="preserve">Abu Dhabi, United Arab Emirates</w:t>
      </w:r>
    </w:p>
    <w:p>
      <w:pPr>
        <w:pStyle w:val="BodyText"/>
      </w:pPr>
      <w:r>
        <w:t xml:space="preserve">Tel: +971 2 445 6789 | Email: billing@meridianprojects.ae</w:t>
      </w:r>
    </w:p>
    <w:p>
      <w:pPr>
        <w:pStyle w:val="BodyText"/>
      </w:pPr>
      <w:r>
        <w:t xml:space="preserve">Trade License No: 1045872 | CR: 100234567</w:t>
      </w:r>
    </w:p>
    <w:p>
      <w:pPr>
        <w:pStyle w:val="BodyText"/>
      </w:pPr>
      <w:r>
        <w:t xml:space="preserve">VAT Registration No: 100234567000003</w:t>
      </w:r>
    </w:p>
    <w:p>
      <w:pPr>
        <w:pStyle w:val="BodyText"/>
      </w:pPr>
      <w:r>
        <w:t xml:space="preserve">United Arab Emirates Abu Dhabi</w:t>
      </w:r>
    </w:p>
    <w:bookmarkEnd w:id="20"/>
    <w:bookmarkStart w:id="21" w:name="invoice"/>
    <w:p>
      <w:pPr>
        <w:pStyle w:val="Heading2"/>
      </w:pPr>
      <w:r>
        <w:t xml:space="preserve">INVOICE</w:t>
      </w:r>
    </w:p>
    <w:p>
      <w:pPr>
        <w:pStyle w:val="FirstParagraph"/>
      </w:pPr>
      <w:r>
        <w:t xml:space="preserve">Project Manager Professional Services</w:t>
      </w:r>
    </w:p>
    <w:p>
      <w:pPr>
        <w:pStyle w:val="BodyText"/>
      </w:pPr>
      <w:r>
        <w:t xml:space="preserve">Invoice No: INV-2025-AD-00482</w:t>
      </w:r>
    </w:p>
    <w:p>
      <w:pPr>
        <w:pStyle w:val="BodyText"/>
      </w:pPr>
      <w:r>
        <w:t xml:space="preserve">Date of Issue: 15 June 2025</w:t>
      </w:r>
    </w:p>
    <w:p>
      <w:pPr>
        <w:pStyle w:val="BodyText"/>
      </w:pPr>
      <w:r>
        <w:t xml:space="preserve">Due Date: 15 July 2025</w:t>
      </w:r>
    </w:p>
    <w:bookmarkEnd w:id="21"/>
    <w:bookmarkStart w:id="22" w:name="bill-to"/>
    <w:p>
      <w:pPr>
        <w:pStyle w:val="Heading3"/>
      </w:pPr>
      <w:r>
        <w:t xml:space="preserve">Bill To</w:t>
      </w:r>
    </w:p>
    <w:p>
      <w:pPr>
        <w:pStyle w:val="FirstParagraph"/>
      </w:pPr>
      <w:r>
        <w:t xml:space="preserve">Client:</w:t>
      </w:r>
      <w:r>
        <w:t xml:space="preserve"> </w:t>
      </w:r>
      <w:r>
        <w:t xml:space="preserve">Al Noor Development Group FZE</w:t>
      </w:r>
    </w:p>
    <w:p>
      <w:pPr>
        <w:pStyle w:val="BodyText"/>
      </w:pPr>
      <w:r>
        <w:t xml:space="preserve">Attn:</w:t>
      </w:r>
      <w:r>
        <w:t xml:space="preserve"> </w:t>
      </w:r>
      <w:r>
        <w:t xml:space="preserve">Mr. Khalid Al Mansoori, Chief Operating Officer</w:t>
      </w:r>
    </w:p>
    <w:p>
      <w:pPr>
        <w:pStyle w:val="BodyText"/>
      </w:pPr>
      <w:r>
        <w:t xml:space="preserve">Address:</w:t>
      </w:r>
      <w:r>
        <w:t xml:space="preserve"> </w:t>
      </w:r>
      <w:r>
        <w:t xml:space="preserve">Plot 45, Khalifa Industrial Zone 1 (KIZ1)</w:t>
      </w:r>
    </w:p>
    <w:p>
      <w:pPr>
        <w:pStyle w:val="BodyText"/>
      </w:pPr>
      <w:r>
        <w:t xml:space="preserve">City:</w:t>
      </w:r>
      <w:r>
        <w:t xml:space="preserve"> </w:t>
      </w:r>
      <w:r>
        <w:t xml:space="preserve">Abu Dhabi, United Arab Emirates</w:t>
      </w:r>
    </w:p>
    <w:p>
      <w:pPr>
        <w:pStyle w:val="BodyText"/>
      </w:pPr>
      <w:r>
        <w:t xml:space="preserve">VAT No:</w:t>
      </w:r>
      <w:r>
        <w:t xml:space="preserve"> </w:t>
      </w:r>
      <w:r>
        <w:t xml:space="preserve">100987654000003</w:t>
      </w:r>
    </w:p>
    <w:p>
      <w:pPr>
        <w:pStyle w:val="BodyText"/>
      </w:pPr>
      <w:r>
        <w:t xml:space="preserve">PO Reference:</w:t>
      </w:r>
      <w:r>
        <w:t xml:space="preserve"> </w:t>
      </w:r>
      <w:r>
        <w:t xml:space="preserve">AD-PO-2025-3317</w:t>
      </w:r>
    </w:p>
    <w:bookmarkEnd w:id="22"/>
    <w:bookmarkStart w:id="23" w:name="project-details"/>
    <w:p>
      <w:pPr>
        <w:pStyle w:val="Heading3"/>
      </w:pPr>
      <w:r>
        <w:t xml:space="preserve">Project Details</w:t>
      </w:r>
    </w:p>
    <w:p>
      <w:pPr>
        <w:pStyle w:val="FirstParagraph"/>
      </w:pPr>
      <w:r>
        <w:t xml:space="preserve">Project:</w:t>
      </w:r>
      <w:r>
        <w:t xml:space="preserve"> </w:t>
      </w:r>
      <w:r>
        <w:t xml:space="preserve">Abu Dhabi Smart City Infrastructure Phase II</w:t>
      </w:r>
    </w:p>
    <w:p>
      <w:pPr>
        <w:pStyle w:val="BodyText"/>
      </w:pPr>
      <w:r>
        <w:t xml:space="preserve">Location:</w:t>
      </w:r>
      <w:r>
        <w:t xml:space="preserve"> </w:t>
      </w:r>
      <w:r>
        <w:t xml:space="preserve">United Arab Emirates Abu Dhabi</w:t>
      </w:r>
    </w:p>
    <w:p>
      <w:pPr>
        <w:pStyle w:val="BodyText"/>
      </w:pPr>
      <w:r>
        <w:t xml:space="preserve">Engagement Period:</w:t>
      </w:r>
      <w:r>
        <w:t xml:space="preserve"> </w:t>
      </w:r>
      <w:r>
        <w:t xml:space="preserve">01 May 2025 – 30 June 2025</w:t>
      </w:r>
    </w:p>
    <w:p>
      <w:pPr>
        <w:pStyle w:val="BodyText"/>
      </w:pPr>
      <w:r>
        <w:t xml:space="preserve">Project Manager:</w:t>
      </w:r>
      <w:r>
        <w:t xml:space="preserve"> </w:t>
      </w:r>
      <w:r>
        <w:t xml:space="preserve">Sarah Al Farsi, PMP, PRINCE2</w:t>
      </w:r>
    </w:p>
    <w:p>
      <w:pPr>
        <w:pStyle w:val="BodyText"/>
      </w:pPr>
      <w:r>
        <w:t xml:space="preserve">Contract Ref:</w:t>
      </w:r>
      <w:r>
        <w:t xml:space="preserve"> </w:t>
      </w:r>
      <w:r>
        <w:t xml:space="preserve">MPS-AD-2025-019</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Project Manager Services</w:t>
            </w:r>
          </w:p>
        </w:tc>
        <w:tc>
          <w:tcPr/>
          <w:p>
            <w:pPr>
              <w:pStyle w:val="Compact"/>
              <w:jc w:val="left"/>
            </w:pPr>
            <w:r>
              <w:t xml:space="preserve">Rate (AED)</w:t>
            </w:r>
          </w:p>
        </w:tc>
        <w:tc>
          <w:tcPr/>
          <w:p>
            <w:pPr>
              <w:pStyle w:val="Compact"/>
              <w:jc w:val="left"/>
            </w:pPr>
            <w:r>
              <w:t xml:space="preserve">Hours</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1</w:t>
            </w:r>
          </w:p>
        </w:tc>
        <w:tc>
          <w:tcPr/>
          <w:p>
            <w:pPr>
              <w:pStyle w:val="Compact"/>
              <w:jc w:val="left"/>
            </w:pPr>
            <w:r>
              <w:rPr>
                <w:bCs/>
                <w:b/>
              </w:rPr>
              <w:t xml:space="preserve">Project Manager – Strategic Planning &amp; Scope Definition</w:t>
            </w:r>
            <w:r>
              <w:br/>
            </w:r>
            <w:r>
              <w:t xml:space="preserve">Development of the comprehensive project charter, work breakdown structure (WBS), and scope management plan for the Abu Dhabi Smart City Infrastructure Phase II initiative. Includes stakeholder alignment workshops conducted in Abu Dhabi, United Arab Emirates.</w:t>
            </w:r>
          </w:p>
        </w:tc>
        <w:tc>
          <w:tcPr/>
          <w:p>
            <w:pPr>
              <w:pStyle w:val="Compact"/>
              <w:jc w:val="left"/>
            </w:pPr>
            <w:r>
              <w:t xml:space="preserve">450.00</w:t>
            </w:r>
          </w:p>
        </w:tc>
        <w:tc>
          <w:tcPr/>
          <w:p>
            <w:pPr>
              <w:pStyle w:val="Compact"/>
              <w:jc w:val="left"/>
            </w:pPr>
            <w:r>
              <w:t xml:space="preserve">40</w:t>
            </w:r>
          </w:p>
        </w:tc>
        <w:tc>
          <w:tcPr/>
          <w:p>
            <w:pPr>
              <w:pStyle w:val="Compact"/>
              <w:jc w:val="left"/>
            </w:pPr>
            <w:r>
              <w:t xml:space="preserve">18,000.00</w:t>
            </w:r>
          </w:p>
        </w:tc>
        <w:tc>
          <w:tcPr/>
          <w:p>
            <w:pPr>
              <w:pStyle w:val="Compact"/>
              <w:jc w:val="left"/>
            </w:pPr>
            <w:r>
              <w:t xml:space="preserve">900.00</w:t>
            </w:r>
          </w:p>
        </w:tc>
      </w:tr>
      <w:tr>
        <w:tc>
          <w:tcPr/>
          <w:p>
            <w:pPr>
              <w:pStyle w:val="Compact"/>
              <w:jc w:val="left"/>
            </w:pPr>
            <w:r>
              <w:t xml:space="preserve">2</w:t>
            </w:r>
          </w:p>
        </w:tc>
        <w:tc>
          <w:tcPr/>
          <w:p>
            <w:pPr>
              <w:pStyle w:val="Compact"/>
              <w:jc w:val="left"/>
            </w:pPr>
            <w:r>
              <w:rPr>
                <w:bCs/>
                <w:b/>
              </w:rPr>
              <w:t xml:space="preserve">Project Manager – Schedule &amp; Resource Management</w:t>
            </w:r>
            <w:r>
              <w:br/>
            </w:r>
            <w:r>
              <w:t xml:space="preserve">Creation and maintenance of the master project schedule, critical path analysis, resource allocation matrix, and capacity planning. Bi-weekly progress reporting to the Abu Dhabi Municipal Authority and client leadership team.</w:t>
            </w:r>
          </w:p>
        </w:tc>
        <w:tc>
          <w:tcPr/>
          <w:p>
            <w:pPr>
              <w:pStyle w:val="Compact"/>
              <w:jc w:val="left"/>
            </w:pPr>
            <w:r>
              <w:t xml:space="preserve">450.00</w:t>
            </w:r>
          </w:p>
        </w:tc>
        <w:tc>
          <w:tcPr/>
          <w:p>
            <w:pPr>
              <w:pStyle w:val="Compact"/>
              <w:jc w:val="left"/>
            </w:pPr>
            <w:r>
              <w:t xml:space="preserve">60</w:t>
            </w:r>
          </w:p>
        </w:tc>
        <w:tc>
          <w:tcPr/>
          <w:p>
            <w:pPr>
              <w:pStyle w:val="Compact"/>
              <w:jc w:val="left"/>
            </w:pPr>
            <w:r>
              <w:t xml:space="preserve">27,000.00</w:t>
            </w:r>
          </w:p>
        </w:tc>
        <w:tc>
          <w:tcPr/>
          <w:p>
            <w:pPr>
              <w:pStyle w:val="Compact"/>
              <w:jc w:val="left"/>
            </w:pPr>
            <w:r>
              <w:t xml:space="preserve">1,350.00</w:t>
            </w:r>
          </w:p>
        </w:tc>
      </w:tr>
      <w:tr>
        <w:tc>
          <w:tcPr/>
          <w:p>
            <w:pPr>
              <w:pStyle w:val="Compact"/>
              <w:jc w:val="left"/>
            </w:pPr>
            <w:r>
              <w:t xml:space="preserve">3</w:t>
            </w:r>
          </w:p>
        </w:tc>
        <w:tc>
          <w:tcPr/>
          <w:p>
            <w:pPr>
              <w:pStyle w:val="Compact"/>
              <w:jc w:val="left"/>
            </w:pPr>
            <w:r>
              <w:rPr>
                <w:bCs/>
                <w:b/>
              </w:rPr>
              <w:t xml:space="preserve">Project Manager – Risk &amp; Quality Assurance Oversight</w:t>
            </w:r>
            <w:r>
              <w:br/>
            </w:r>
            <w:r>
              <w:t xml:space="preserve">Establishment of the risk register, implementation of mitigation strategies, quality control checkpoints, and compliance verification against UAE building codes and Abu Dhabi regulatory standards. Includes two on-site inspections at the United Arab Emirates Abu Dhabi project site.</w:t>
            </w:r>
          </w:p>
        </w:tc>
        <w:tc>
          <w:tcPr/>
          <w:p>
            <w:pPr>
              <w:pStyle w:val="Compact"/>
              <w:jc w:val="left"/>
            </w:pPr>
            <w:r>
              <w:t xml:space="preserve">450.00</w:t>
            </w:r>
          </w:p>
        </w:tc>
        <w:tc>
          <w:tcPr/>
          <w:p>
            <w:pPr>
              <w:pStyle w:val="Compact"/>
              <w:jc w:val="left"/>
            </w:pPr>
            <w:r>
              <w:t xml:space="preserve">48</w:t>
            </w:r>
          </w:p>
        </w:tc>
        <w:tc>
          <w:tcPr/>
          <w:p>
            <w:pPr>
              <w:pStyle w:val="Compact"/>
              <w:jc w:val="left"/>
            </w:pPr>
            <w:r>
              <w:t xml:space="preserve">21,600.00</w:t>
            </w:r>
          </w:p>
        </w:tc>
        <w:tc>
          <w:tcPr/>
          <w:p>
            <w:pPr>
              <w:pStyle w:val="Compact"/>
              <w:jc w:val="left"/>
            </w:pPr>
            <w:r>
              <w:t xml:space="preserve">1,080.00</w:t>
            </w:r>
          </w:p>
        </w:tc>
      </w:tr>
      <w:tr>
        <w:tc>
          <w:tcPr/>
          <w:p>
            <w:pPr>
              <w:pStyle w:val="Compact"/>
              <w:jc w:val="left"/>
            </w:pPr>
            <w:r>
              <w:t xml:space="preserve">4</w:t>
            </w:r>
          </w:p>
        </w:tc>
        <w:tc>
          <w:tcPr/>
          <w:p>
            <w:pPr>
              <w:pStyle w:val="Compact"/>
              <w:jc w:val="left"/>
            </w:pPr>
            <w:r>
              <w:rPr>
                <w:bCs/>
                <w:b/>
              </w:rPr>
              <w:t xml:space="preserve">Project Manager – Vendor &amp; Contract Coordination</w:t>
            </w:r>
            <w:r>
              <w:br/>
            </w:r>
            <w:r>
              <w:t xml:space="preserve">Management of subcontractor performance, procurement oversight, contract variation control, and coordination with multiple vendors operating within the United Arab Emirates Abu Dhabi economic zone. Includes preparation of monthly vendor performance reports.</w:t>
            </w:r>
          </w:p>
        </w:tc>
        <w:tc>
          <w:tcPr/>
          <w:p>
            <w:pPr>
              <w:pStyle w:val="Compact"/>
              <w:jc w:val="left"/>
            </w:pPr>
            <w:r>
              <w:t xml:space="preserve">450.00</w:t>
            </w:r>
          </w:p>
        </w:tc>
        <w:tc>
          <w:tcPr/>
          <w:p>
            <w:pPr>
              <w:pStyle w:val="Compact"/>
              <w:jc w:val="left"/>
            </w:pPr>
            <w:r>
              <w:t xml:space="preserve">36</w:t>
            </w:r>
          </w:p>
        </w:tc>
        <w:tc>
          <w:tcPr/>
          <w:p>
            <w:pPr>
              <w:pStyle w:val="Compact"/>
              <w:jc w:val="left"/>
            </w:pPr>
            <w:r>
              <w:t xml:space="preserve">16,200.00</w:t>
            </w:r>
          </w:p>
        </w:tc>
        <w:tc>
          <w:tcPr/>
          <w:p>
            <w:pPr>
              <w:pStyle w:val="Compact"/>
              <w:jc w:val="left"/>
            </w:pPr>
            <w:r>
              <w:t xml:space="preserve">810.00</w:t>
            </w:r>
          </w:p>
        </w:tc>
      </w:tr>
      <w:tr>
        <w:tc>
          <w:tcPr/>
          <w:p>
            <w:pPr>
              <w:pStyle w:val="Compact"/>
              <w:jc w:val="left"/>
            </w:pPr>
            <w:r>
              <w:t xml:space="preserve">5</w:t>
            </w:r>
          </w:p>
        </w:tc>
        <w:tc>
          <w:tcPr/>
          <w:p>
            <w:pPr>
              <w:pStyle w:val="Compact"/>
              <w:jc w:val="left"/>
            </w:pPr>
            <w:r>
              <w:rPr>
                <w:bCs/>
                <w:b/>
              </w:rPr>
              <w:t xml:space="preserve">Project Manager – Change Control &amp; Stakeholder Communication</w:t>
            </w:r>
            <w:r>
              <w:br/>
            </w:r>
            <w:r>
              <w:t xml:space="preserve">Administration of the formal change request process, preparation of stakeholder communication packages, facilitation of monthly steering committee meetings in Abu Dhabi, and issuance of project status bulletins to all parties registered in the United Arab Emirates.</w:t>
            </w:r>
          </w:p>
        </w:tc>
        <w:tc>
          <w:tcPr/>
          <w:p>
            <w:pPr>
              <w:pStyle w:val="Compact"/>
              <w:jc w:val="left"/>
            </w:pPr>
            <w:r>
              <w:t xml:space="preserve">450.00</w:t>
            </w:r>
          </w:p>
        </w:tc>
        <w:tc>
          <w:tcPr/>
          <w:p>
            <w:pPr>
              <w:pStyle w:val="Compact"/>
              <w:jc w:val="left"/>
            </w:pPr>
            <w:r>
              <w:t xml:space="preserve">32</w:t>
            </w:r>
          </w:p>
        </w:tc>
        <w:tc>
          <w:tcPr/>
          <w:p>
            <w:pPr>
              <w:pStyle w:val="Compact"/>
              <w:jc w:val="left"/>
            </w:pPr>
            <w:r>
              <w:t xml:space="preserve">14,400.00</w:t>
            </w:r>
          </w:p>
        </w:tc>
        <w:tc>
          <w:tcPr/>
          <w:p>
            <w:pPr>
              <w:pStyle w:val="Compact"/>
              <w:jc w:val="left"/>
            </w:pPr>
            <w:r>
              <w:t xml:space="preserve">720.00</w:t>
            </w:r>
          </w:p>
        </w:tc>
      </w:tr>
      <w:tr>
        <w:tc>
          <w:tcPr/>
          <w:p>
            <w:pPr>
              <w:pStyle w:val="Compact"/>
              <w:jc w:val="left"/>
            </w:pPr>
            <w:r>
              <w:t xml:space="preserve">6</w:t>
            </w:r>
          </w:p>
        </w:tc>
        <w:tc>
          <w:tcPr/>
          <w:p>
            <w:pPr>
              <w:pStyle w:val="Compact"/>
              <w:jc w:val="left"/>
            </w:pPr>
            <w:r>
              <w:rPr>
                <w:bCs/>
                <w:b/>
              </w:rPr>
              <w:t xml:space="preserve">Project Manager – Closeout &amp; Handover Documentation</w:t>
            </w:r>
            <w:r>
              <w:br/>
            </w:r>
            <w:r>
              <w:t xml:space="preserve">Compilation of as-built documentation, lessons-learned register, warranty and maintenance handover packages, and final project closure report in accordance with Abu Dhabi government project delivery standards.</w:t>
            </w:r>
          </w:p>
        </w:tc>
        <w:tc>
          <w:tcPr/>
          <w:p>
            <w:pPr>
              <w:pStyle w:val="Compact"/>
              <w:jc w:val="left"/>
            </w:pPr>
            <w:r>
              <w:t xml:space="preserve">450.00</w:t>
            </w:r>
          </w:p>
        </w:tc>
        <w:tc>
          <w:tcPr/>
          <w:p>
            <w:pPr>
              <w:pStyle w:val="Compact"/>
              <w:jc w:val="left"/>
            </w:pPr>
            <w:r>
              <w:t xml:space="preserve">24</w:t>
            </w:r>
          </w:p>
        </w:tc>
        <w:tc>
          <w:tcPr/>
          <w:p>
            <w:pPr>
              <w:pStyle w:val="Compact"/>
              <w:jc w:val="left"/>
            </w:pPr>
            <w:r>
              <w:t xml:space="preserve">10,800.00</w:t>
            </w:r>
          </w:p>
        </w:tc>
        <w:tc>
          <w:tcPr/>
          <w:p>
            <w:pPr>
              <w:pStyle w:val="Compact"/>
              <w:jc w:val="left"/>
            </w:pPr>
            <w:r>
              <w:t xml:space="preserve">540.00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left"/>
            </w:pPr>
            <w:r>
              <w:t xml:space="preserve">108,000.00</w:t>
            </w:r>
          </w:p>
        </w:tc>
      </w:tr>
      <w:tr>
        <w:tc>
          <w:tcPr/>
          <w:p>
            <w:pPr>
              <w:pStyle w:val="Compact"/>
              <w:jc w:val="left"/>
            </w:pPr>
            <w:r>
              <w:t xml:space="preserve">VAT @ 5% (AED)</w:t>
            </w:r>
          </w:p>
        </w:tc>
        <w:tc>
          <w:tcPr/>
          <w:p>
            <w:pPr>
              <w:pStyle w:val="Compact"/>
              <w:jc w:val="left"/>
            </w:pPr>
            <w:r>
              <w:t xml:space="preserve">5,400.00</w:t>
            </w:r>
          </w:p>
        </w:tc>
      </w:tr>
      <w:tr>
        <w:tc>
          <w:tcPr/>
          <w:p>
            <w:pPr>
              <w:pStyle w:val="Compact"/>
              <w:jc w:val="left"/>
            </w:pPr>
            <w:r>
              <w:t xml:space="preserve">Discount / Adjustment</w:t>
            </w:r>
          </w:p>
        </w:tc>
        <w:tc>
          <w:tcPr/>
          <w:p>
            <w:pPr>
              <w:pStyle w:val="Compact"/>
              <w:jc w:val="left"/>
            </w:pPr>
            <w:r>
              <w:t xml:space="preserve">0.00</w:t>
            </w:r>
          </w:p>
        </w:tc>
      </w:tr>
      <w:tr>
        <w:tc>
          <w:tcPr/>
          <w:p>
            <w:pPr>
              <w:pStyle w:val="Compact"/>
              <w:jc w:val="left"/>
            </w:pPr>
            <w:r>
              <w:t xml:space="preserve">TOTAL DUE (AED)</w:t>
            </w:r>
          </w:p>
        </w:tc>
        <w:tc>
          <w:tcPr/>
          <w:p>
            <w:pPr>
              <w:pStyle w:val="Compact"/>
              <w:jc w:val="left"/>
            </w:pPr>
            <w:r>
              <w:t xml:space="preserve">113,400.00</w:t>
            </w:r>
          </w:p>
        </w:tc>
      </w:tr>
    </w:tbl>
    <w:bookmarkStart w:id="24" w:name="X87216d808ec8862616c64cc18b6762c43803388"/>
    <w:p>
      <w:pPr>
        <w:pStyle w:val="Heading3"/>
      </w:pPr>
      <w:r>
        <w:t xml:space="preserve">Payment Instructions – United Arab Emirates Abu Dhabi</w:t>
      </w:r>
    </w:p>
    <w:p>
      <w:pPr>
        <w:pStyle w:val="FirstParagraph"/>
      </w:pPr>
      <w:r>
        <w:t xml:space="preserve">This</w:t>
      </w:r>
      <w:r>
        <w:t xml:space="preserve"> </w:t>
      </w:r>
      <w:r>
        <w:t xml:space="preserve">Invoice</w:t>
      </w:r>
      <w:r>
        <w:t xml:space="preserve"> </w:t>
      </w:r>
      <w:r>
        <w:t xml:space="preserve">is payable within thirty (30) calendar days from the date of issue, in accordance with the terms stipulated in the Master Services Agreement governing</w:t>
      </w:r>
      <w:r>
        <w:t xml:space="preserve"> </w:t>
      </w:r>
      <w:r>
        <w:t xml:space="preserve">Project Manager</w:t>
      </w:r>
      <w:r>
        <w:t xml:space="preserve"> </w:t>
      </w:r>
      <w:r>
        <w:t xml:space="preserve">professional services rendered in the</w:t>
      </w:r>
      <w:r>
        <w:t xml:space="preserve"> </w:t>
      </w:r>
      <w:r>
        <w:t xml:space="preserve">United Arab Emirates Abu Dhabi</w:t>
      </w:r>
      <w:r>
        <w:t xml:space="preserve"> </w:t>
      </w:r>
      <w:r>
        <w:t xml:space="preserve">jurisdiction.</w:t>
      </w:r>
    </w:p>
    <w:p>
      <w:pPr>
        <w:pStyle w:val="BodyText"/>
      </w:pPr>
      <w:r>
        <w:rPr>
          <w:bCs/>
          <w:b/>
        </w:rPr>
        <w:t xml:space="preserve">Bank:</w:t>
      </w:r>
      <w:r>
        <w:t xml:space="preserve"> </w:t>
      </w:r>
      <w:r>
        <w:t xml:space="preserve">First Abu Dhabi Bank (FAB)</w:t>
      </w:r>
    </w:p>
    <w:p>
      <w:pPr>
        <w:pStyle w:val="BodyText"/>
      </w:pPr>
      <w:r>
        <w:rPr>
          <w:bCs/>
          <w:b/>
        </w:rPr>
        <w:t xml:space="preserve">Account Name:</w:t>
      </w:r>
      <w:r>
        <w:t xml:space="preserve"> </w:t>
      </w:r>
      <w:r>
        <w:t xml:space="preserve">Meridian Project Solutions LLC</w:t>
      </w:r>
    </w:p>
    <w:p>
      <w:pPr>
        <w:pStyle w:val="BodyText"/>
      </w:pPr>
      <w:r>
        <w:rPr>
          <w:bCs/>
          <w:b/>
        </w:rPr>
        <w:t xml:space="preserve">IBAN:</w:t>
      </w:r>
      <w:r>
        <w:t xml:space="preserve"> </w:t>
      </w:r>
      <w:r>
        <w:t xml:space="preserve">AE07 0000 0000 1234 5678 9012 3</w:t>
      </w:r>
    </w:p>
    <w:p>
      <w:pPr>
        <w:pStyle w:val="BodyText"/>
      </w:pPr>
      <w:r>
        <w:rPr>
          <w:bCs/>
          <w:b/>
        </w:rPr>
        <w:t xml:space="preserve">SWIFT/BIC:</w:t>
      </w:r>
      <w:r>
        <w:t xml:space="preserve"> </w:t>
      </w:r>
      <w:r>
        <w:t xml:space="preserve">FABDAEAD</w:t>
      </w:r>
    </w:p>
    <w:p>
      <w:pPr>
        <w:pStyle w:val="BodyText"/>
      </w:pPr>
      <w:r>
        <w:rPr>
          <w:bCs/>
          <w:b/>
        </w:rPr>
        <w:t xml:space="preserve">Reference:</w:t>
      </w:r>
      <w:r>
        <w:t xml:space="preserve"> </w:t>
      </w:r>
      <w:r>
        <w:t xml:space="preserve">INV-2025-AD-00482 / Project Manager Services / Abu Dhabi</w:t>
      </w:r>
    </w:p>
    <w:p>
      <w:pPr>
        <w:pStyle w:val="BodyText"/>
      </w:pPr>
      <w:r>
        <w:t xml:space="preserve">Please ensure that the reference number is included with all payments to facilitate accurate reconciliation of this Invoice against the Project Manager engagement contract.</w:t>
      </w:r>
    </w:p>
    <w:bookmarkEnd w:id="24"/>
    <w:bookmarkStart w:id="25" w:name="terms-conditions"/>
    <w:p>
      <w:pPr>
        <w:pStyle w:val="Heading3"/>
      </w:pPr>
      <w:r>
        <w:t xml:space="preserve">Terms &amp; Conditions</w:t>
      </w:r>
    </w:p>
    <w:p>
      <w:pPr>
        <w:numPr>
          <w:ilvl w:val="0"/>
          <w:numId w:val="1001"/>
        </w:numPr>
        <w:pStyle w:val="Compact"/>
      </w:pPr>
      <w:r>
        <w:t xml:space="preserve">This Invoice is issued in compliance with the Federal Decree-Law No. 8 of 2017 on Value Added Tax (VAT) as enforced by the Federal Tax Authority of the United Arab Emirates Abu Dhabi region.</w:t>
      </w:r>
    </w:p>
    <w:p>
      <w:pPr>
        <w:numPr>
          <w:ilvl w:val="0"/>
          <w:numId w:val="1001"/>
        </w:numPr>
        <w:pStyle w:val="Compact"/>
      </w:pPr>
      <w:r>
        <w:t xml:space="preserve">All Project Manager services described herein were performed in accordance with the professional standards set by the Project Management Institute (PMI) and the Prince2 methodology, as applicable to projects located in the United Arab Emirates Abu Dhabi.</w:t>
      </w:r>
    </w:p>
    <w:p>
      <w:pPr>
        <w:numPr>
          <w:ilvl w:val="0"/>
          <w:numId w:val="1001"/>
        </w:numPr>
        <w:pStyle w:val="Compact"/>
      </w:pPr>
      <w:r>
        <w:t xml:space="preserve">Payment is due within 30 days of the Invoice date. Late payments shall attract a penalty of 2% per month or the maximum rate permitted under UAE commercial law, whichever is lower.</w:t>
      </w:r>
    </w:p>
    <w:p>
      <w:pPr>
        <w:numPr>
          <w:ilvl w:val="0"/>
          <w:numId w:val="1001"/>
        </w:numPr>
        <w:pStyle w:val="Compact"/>
      </w:pPr>
      <w:r>
        <w:t xml:space="preserve">This Invoice constitutes a final and binding statement of charges for the Project Manager engagement period specified. Any additional services beyond the contracted scope will be subject to a separate Invoice and prior written approval.</w:t>
      </w:r>
    </w:p>
    <w:p>
      <w:pPr>
        <w:numPr>
          <w:ilvl w:val="0"/>
          <w:numId w:val="1001"/>
        </w:numPr>
        <w:pStyle w:val="Compact"/>
      </w:pPr>
      <w:r>
        <w:t xml:space="preserve">All disputes arising from this Invoice or the underlying Project Manager services agreement shall be resolved through arbitration in Abu Dhabi, United Arab Emirates, in accordance with the rules of the Abu Dhabi Global Market (ADGM) Financial Services Regulatory Authority.</w:t>
      </w:r>
    </w:p>
    <w:p>
      <w:pPr>
        <w:numPr>
          <w:ilvl w:val="0"/>
          <w:numId w:val="1001"/>
        </w:numPr>
        <w:pStyle w:val="Compact"/>
      </w:pPr>
      <w:r>
        <w:t xml:space="preserve">The Project Manager services are subject to the confidentiality provisions outlined in Section 14 of the Master Services Agreement. All project data, schedules, and documentation remain the intellectual property of the client.</w:t>
      </w:r>
    </w:p>
    <w:p>
      <w:pPr>
        <w:numPr>
          <w:ilvl w:val="0"/>
          <w:numId w:val="1001"/>
        </w:numPr>
        <w:pStyle w:val="Compact"/>
      </w:pPr>
      <w:r>
        <w:t xml:space="preserve">This Invoice must be retained by the client for a minimum period of five (5) years in accordance with UAE tax record-keeping requirements applicable to entities operating in Abu Dhabi, United Arab Emirates.</w:t>
      </w:r>
    </w:p>
    <w:p>
      <w:pPr>
        <w:numPr>
          <w:ilvl w:val="0"/>
          <w:numId w:val="1001"/>
        </w:numPr>
        <w:pStyle w:val="Compact"/>
      </w:pPr>
      <w:r>
        <w:t xml:space="preserve">Meridian Project Solutions LLC reserves the right to suspend Project Manager services if payment is not received within the stipulated period, subject to a seven (7) day written notice to the client.</w:t>
      </w:r>
    </w:p>
    <w:bookmarkEnd w:id="25"/>
    <w:p>
      <w:pPr>
        <w:pStyle w:val="FirstParagraph"/>
      </w:pPr>
      <w:r>
        <w:rPr>
          <w:bCs/>
          <w:b/>
        </w:rPr>
        <w:t xml:space="preserve">Authorized Signatory:</w:t>
      </w:r>
    </w:p>
    <w:p>
      <w:pPr>
        <w:pStyle w:val="BodyText"/>
      </w:pPr>
      <w:r>
        <w:t xml:space="preserve">Sarah Al Farsi, PMP, PRINCE2</w:t>
      </w:r>
    </w:p>
    <w:p>
      <w:pPr>
        <w:pStyle w:val="BodyText"/>
      </w:pPr>
      <w:r>
        <w:t xml:space="preserve">Lead Project Manager</w:t>
      </w:r>
    </w:p>
    <w:p>
      <w:pPr>
        <w:pStyle w:val="BodyText"/>
      </w:pPr>
      <w:r>
        <w:t xml:space="preserve">Meridian Project Solutions LLC</w:t>
      </w:r>
    </w:p>
    <w:p>
      <w:pPr>
        <w:pStyle w:val="BodyText"/>
      </w:pPr>
      <w:r>
        <w:t xml:space="preserve">Abu Dhabi, United Arab Emirates</w:t>
      </w:r>
    </w:p>
    <w:p>
      <w:pPr>
        <w:pStyle w:val="BodyText"/>
      </w:pPr>
      <w:r>
        <w:rPr>
          <w:bCs/>
          <w:b/>
        </w:rPr>
        <w:t xml:space="preserve">Client Acknowledgment:</w:t>
      </w:r>
    </w:p>
    <w:p>
      <w:pPr>
        <w:pStyle w:val="BodyText"/>
      </w:pPr>
      <w:r>
        <w:t xml:space="preserve">Name: ___________________________</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Meridian Project Solutions LLC</w:t>
      </w:r>
      <w:r>
        <w:t xml:space="preserve"> </w:t>
      </w:r>
      <w:r>
        <w:t xml:space="preserve">| Office 1204, Level 12, Al Reem Island Tower, Abu Dhabi, United Arab Emirates</w:t>
      </w:r>
    </w:p>
    <w:p>
      <w:pPr>
        <w:pStyle w:val="BodyText"/>
      </w:pPr>
      <w:r>
        <w:t xml:space="preserve">This Invoice was generated electronically and is valid without a physical signature. For queries regarding this Invoice or the Project Manager engagement, please contact billing@meridianprojects.ae or call +971 2 445 6789.</w:t>
      </w:r>
    </w:p>
    <w:p>
      <w:pPr>
        <w:pStyle w:val="BodyText"/>
      </w:pPr>
      <w:r>
        <w:t xml:space="preserve">Meridian Project Solutions LLC is a licensed entity registered with the Department of Economic Development (DED) Abu Dhabi, United Arab Emirates. All Project Manager services are delivered in full compliance with UAE labor, commercial, and tax regulations.</w:t>
      </w:r>
    </w:p>
    <w:p>
      <w:pPr>
        <w:pStyle w:val="BodyText"/>
      </w:pPr>
      <w:r>
        <w:t xml:space="preserve">Invoice INV-2025-AD-00482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Project Manager Services - United Arab Emirates Abu Dhabi</dc:title>
  <dc:creator/>
  <dc:language>en</dc:language>
  <cp:keywords/>
  <dcterms:created xsi:type="dcterms:W3CDTF">2026-10-10T08:38:30Z</dcterms:created>
  <dcterms:modified xsi:type="dcterms:W3CDTF">2026-10-10T08:38:30Z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