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meridian-project-solutions-llc"/>
    <w:p>
      <w:pPr>
        <w:pStyle w:val="Heading1"/>
      </w:pPr>
      <w:r>
        <w:t xml:space="preserve">Meridian Project Solutions LLC</w:t>
      </w:r>
    </w:p>
    <w:p>
      <w:pPr>
        <w:pStyle w:val="FirstParagraph"/>
      </w:pPr>
      <w:r>
        <w:t xml:space="preserve">Office 1204, Level 12, Burj Khalifa</w:t>
      </w:r>
    </w:p>
    <w:p>
      <w:pPr>
        <w:pStyle w:val="BodyText"/>
      </w:pPr>
      <w:r>
        <w:t xml:space="preserve">Downtown Dubai, United Arab Emirates</w:t>
      </w:r>
    </w:p>
    <w:p>
      <w:pPr>
        <w:pStyle w:val="BodyText"/>
      </w:pPr>
      <w:r>
        <w:t xml:space="preserve">Tel: +971 4 555 0182 | Email: billing@meridianps.ae</w:t>
      </w:r>
    </w:p>
    <w:p>
      <w:pPr>
        <w:pStyle w:val="BodyText"/>
      </w:pPr>
      <w:r>
        <w:t xml:space="preserve">Trade License No: 1048293 | TRN: 100482930000003</w:t>
      </w:r>
    </w:p>
    <w:bookmarkEnd w:id="20"/>
    <w:bookmarkStart w:id="21" w:name="invoice"/>
    <w:p>
      <w:pPr>
        <w:pStyle w:val="Heading2"/>
      </w:pPr>
      <w:r>
        <w:t xml:space="preserve">INVOICE</w:t>
      </w:r>
    </w:p>
    <w:p>
      <w:pPr>
        <w:pStyle w:val="FirstParagraph"/>
      </w:pPr>
      <w:r>
        <w:t xml:space="preserve">PROJECT MANAGER SERVICES</w:t>
      </w:r>
    </w:p>
    <w:p>
      <w:pPr>
        <w:pStyle w:val="BodyText"/>
      </w:pPr>
      <w:r>
        <w:t xml:space="preserve">Invoice No: MPS-INV-2025-0472</w:t>
      </w:r>
    </w:p>
    <w:p>
      <w:pPr>
        <w:pStyle w:val="BodyText"/>
      </w:pPr>
      <w:r>
        <w:t xml:space="preserve">Issue Date: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Al Noor Development Group FZE</w:t>
      </w:r>
    </w:p>
    <w:p>
      <w:pPr>
        <w:pStyle w:val="BodyText"/>
      </w:pPr>
      <w:r>
        <w:t xml:space="preserve">Attn: Mr. Khalid Al Mansoori, Chief Operating Officer</w:t>
      </w:r>
    </w:p>
    <w:p>
      <w:pPr>
        <w:pStyle w:val="BodyText"/>
      </w:pPr>
      <w:r>
        <w:t xml:space="preserve">Headquarters, Dubai International Financial Centre (DIFC)</w:t>
      </w:r>
    </w:p>
    <w:p>
      <w:pPr>
        <w:pStyle w:val="BodyText"/>
      </w:pPr>
      <w:r>
        <w:t xml:space="preserve">Level 28, Gate Village 7, Dubai, United Arab Emirates</w:t>
      </w:r>
    </w:p>
    <w:p>
      <w:pPr>
        <w:pStyle w:val="BodyText"/>
      </w:pPr>
      <w:r>
        <w:t xml:space="preserve">VAT Registration: 100384720000003</w:t>
      </w:r>
    </w:p>
    <w:bookmarkEnd w:id="22"/>
    <w:bookmarkStart w:id="23" w:name="project-reference"/>
    <w:p>
      <w:pPr>
        <w:pStyle w:val="Heading3"/>
      </w:pPr>
      <w:r>
        <w:t xml:space="preserve">Project Reference</w:t>
      </w:r>
    </w:p>
    <w:p>
      <w:pPr>
        <w:pStyle w:val="FirstParagraph"/>
      </w:pPr>
      <w:r>
        <w:t xml:space="preserve">Project: Marina Tower Phase II – Construction Oversight</w:t>
      </w:r>
    </w:p>
    <w:p>
      <w:pPr>
        <w:pStyle w:val="BodyText"/>
      </w:pPr>
      <w:r>
        <w:t xml:space="preserve">Contract No: ANG-PM-2025-0031</w:t>
      </w:r>
    </w:p>
    <w:p>
      <w:pPr>
        <w:pStyle w:val="BodyText"/>
      </w:pPr>
      <w:r>
        <w:t xml:space="preserve">Service Period: 01 May 2025 – 31 May 2025</w:t>
      </w:r>
    </w:p>
    <w:p>
      <w:pPr>
        <w:pStyle w:val="BodyText"/>
      </w:pPr>
      <w:r>
        <w:t xml:space="preserve">Location: Jumeirah Marina, Dubai, UAE</w:t>
      </w:r>
    </w:p>
    <w:bookmarkEnd w:id="23"/>
    <w:bookmarkStart w:id="24" w:name="payment-details"/>
    <w:p>
      <w:pPr>
        <w:pStyle w:val="Heading3"/>
      </w:pPr>
      <w:r>
        <w:t xml:space="preserve">Payment Details</w:t>
      </w:r>
    </w:p>
    <w:p>
      <w:pPr>
        <w:pStyle w:val="FirstParagraph"/>
      </w:pPr>
      <w:r>
        <w:t xml:space="preserve">Bank: Emirates NBD</w:t>
      </w:r>
    </w:p>
    <w:p>
      <w:pPr>
        <w:pStyle w:val="BodyText"/>
      </w:pPr>
      <w:r>
        <w:t xml:space="preserve">Account Name: Meridian Project Solutions LLC</w:t>
      </w:r>
    </w:p>
    <w:p>
      <w:pPr>
        <w:pStyle w:val="BodyText"/>
      </w:pPr>
      <w:r>
        <w:t xml:space="preserve">IBAN: AE07 0240 0000 0245 8700 1234 567</w:t>
      </w:r>
    </w:p>
    <w:p>
      <w:pPr>
        <w:pStyle w:val="BodyText"/>
      </w:pPr>
      <w:r>
        <w:t xml:space="preserve">SWIFT: EMBAEADJ</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Role / Title</w:t>
            </w:r>
          </w:p>
        </w:tc>
        <w:tc>
          <w:tcPr/>
          <w:p>
            <w:pPr>
              <w:pStyle w:val="Compact"/>
              <w:jc w:val="left"/>
            </w:pPr>
            <w:r>
              <w:t xml:space="preserve">Hours</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Senior Project Manager – Overall construction schedule coordination, stakeholder management, and progress reporting for Marina Tower Phase II. Includes weekly site inspections and monthly executive summaries delivered to the client board in Dubai.</w:t>
            </w:r>
          </w:p>
        </w:tc>
        <w:tc>
          <w:tcPr/>
          <w:p>
            <w:pPr>
              <w:pStyle w:val="Compact"/>
              <w:jc w:val="left"/>
            </w:pPr>
            <w:r>
              <w:t xml:space="preserve">Senior Project Manager</w:t>
            </w:r>
          </w:p>
        </w:tc>
        <w:tc>
          <w:tcPr/>
          <w:p>
            <w:pPr>
              <w:pStyle w:val="Compact"/>
              <w:jc w:val="left"/>
            </w:pPr>
            <w:r>
              <w:t xml:space="preserve">160</w:t>
            </w:r>
          </w:p>
        </w:tc>
        <w:tc>
          <w:tcPr/>
          <w:p>
            <w:pPr>
              <w:pStyle w:val="Compact"/>
              <w:jc w:val="left"/>
            </w:pPr>
            <w:r>
              <w:t xml:space="preserve">450.00</w:t>
            </w:r>
          </w:p>
        </w:tc>
        <w:tc>
          <w:tcPr/>
          <w:p>
            <w:pPr>
              <w:pStyle w:val="Compact"/>
              <w:jc w:val="left"/>
            </w:pPr>
            <w:r>
              <w:t xml:space="preserve">72,000.00</w:t>
            </w:r>
          </w:p>
        </w:tc>
      </w:tr>
      <w:tr>
        <w:tc>
          <w:tcPr/>
          <w:p>
            <w:pPr>
              <w:pStyle w:val="Compact"/>
              <w:jc w:val="left"/>
            </w:pPr>
            <w:r>
              <w:t xml:space="preserve">2</w:t>
            </w:r>
          </w:p>
        </w:tc>
        <w:tc>
          <w:tcPr/>
          <w:p>
            <w:pPr>
              <w:pStyle w:val="Compact"/>
              <w:jc w:val="left"/>
            </w:pPr>
            <w:r>
              <w:t xml:space="preserve">Project Manager – Subcontractor coordination and procurement oversight. Managing a team of 14 subcontractors across structural, MEP, and finishing trades. Ensuring compliance with Dubai Municipality building codes and UAE labor regulations throughout the service period.</w:t>
            </w:r>
          </w:p>
        </w:tc>
        <w:tc>
          <w:tcPr/>
          <w:p>
            <w:pPr>
              <w:pStyle w:val="Compact"/>
              <w:jc w:val="left"/>
            </w:pPr>
            <w:r>
              <w:t xml:space="preserve">Project Manager</w:t>
            </w:r>
          </w:p>
        </w:tc>
        <w:tc>
          <w:tcPr/>
          <w:p>
            <w:pPr>
              <w:pStyle w:val="Compact"/>
              <w:jc w:val="left"/>
            </w:pPr>
            <w:r>
              <w:t xml:space="preserve">120</w:t>
            </w:r>
          </w:p>
        </w:tc>
        <w:tc>
          <w:tcPr/>
          <w:p>
            <w:pPr>
              <w:pStyle w:val="Compact"/>
              <w:jc w:val="left"/>
            </w:pPr>
            <w:r>
              <w:t xml:space="preserve">380.00</w:t>
            </w:r>
          </w:p>
        </w:tc>
        <w:tc>
          <w:tcPr/>
          <w:p>
            <w:pPr>
              <w:pStyle w:val="Compact"/>
              <w:jc w:val="left"/>
            </w:pPr>
            <w:r>
              <w:t xml:space="preserve">45,600.00</w:t>
            </w:r>
          </w:p>
        </w:tc>
      </w:tr>
      <w:tr>
        <w:tc>
          <w:tcPr/>
          <w:p>
            <w:pPr>
              <w:pStyle w:val="Compact"/>
              <w:jc w:val="left"/>
            </w:pPr>
            <w:r>
              <w:t xml:space="preserve">3</w:t>
            </w:r>
          </w:p>
        </w:tc>
        <w:tc>
          <w:tcPr/>
          <w:p>
            <w:pPr>
              <w:pStyle w:val="Compact"/>
              <w:jc w:val="left"/>
            </w:pPr>
            <w:r>
              <w:t xml:space="preserve">Project Manager – Risk assessment and mitigation planning. Conducted bi-weekly risk workshops with the client's engineering team at the DIFC office. Prepared and updated the project risk register in accordance with PMI standards and local UAE regulatory requirements.</w:t>
            </w:r>
          </w:p>
        </w:tc>
        <w:tc>
          <w:tcPr/>
          <w:p>
            <w:pPr>
              <w:pStyle w:val="Compact"/>
              <w:jc w:val="left"/>
            </w:pPr>
            <w:r>
              <w:t xml:space="preserve">Project Manager</w:t>
            </w:r>
          </w:p>
        </w:tc>
        <w:tc>
          <w:tcPr/>
          <w:p>
            <w:pPr>
              <w:pStyle w:val="Compact"/>
              <w:jc w:val="left"/>
            </w:pPr>
            <w:r>
              <w:t xml:space="preserve">40</w:t>
            </w:r>
          </w:p>
        </w:tc>
        <w:tc>
          <w:tcPr/>
          <w:p>
            <w:pPr>
              <w:pStyle w:val="Compact"/>
              <w:jc w:val="left"/>
            </w:pPr>
            <w:r>
              <w:t xml:space="preserve">380.00</w:t>
            </w:r>
          </w:p>
        </w:tc>
        <w:tc>
          <w:tcPr/>
          <w:p>
            <w:pPr>
              <w:pStyle w:val="Compact"/>
              <w:jc w:val="left"/>
            </w:pPr>
            <w:r>
              <w:t xml:space="preserve">15,200.00</w:t>
            </w:r>
          </w:p>
        </w:tc>
      </w:tr>
      <w:tr>
        <w:tc>
          <w:tcPr/>
          <w:p>
            <w:pPr>
              <w:pStyle w:val="Compact"/>
              <w:jc w:val="left"/>
            </w:pPr>
            <w:r>
              <w:t xml:space="preserve">4</w:t>
            </w:r>
          </w:p>
        </w:tc>
        <w:tc>
          <w:tcPr/>
          <w:p>
            <w:pPr>
              <w:pStyle w:val="Compact"/>
              <w:jc w:val="left"/>
            </w:pPr>
            <w:r>
              <w:t xml:space="preserve">Project Manager – Quality assurance and inspection coordination. Supervised 22 quality checkpoints across the construction site in Jumeirah Marina. Issued non-conformance reports and tracked corrective actions to closure in alignment with Dubai Civil Defence standards.</w:t>
            </w:r>
          </w:p>
        </w:tc>
        <w:tc>
          <w:tcPr/>
          <w:p>
            <w:pPr>
              <w:pStyle w:val="Compact"/>
              <w:jc w:val="left"/>
            </w:pPr>
            <w:r>
              <w:t xml:space="preserve">Project Manager</w:t>
            </w:r>
          </w:p>
        </w:tc>
        <w:tc>
          <w:tcPr/>
          <w:p>
            <w:pPr>
              <w:pStyle w:val="Compact"/>
              <w:jc w:val="left"/>
            </w:pPr>
            <w:r>
              <w:t xml:space="preserve">60</w:t>
            </w:r>
          </w:p>
        </w:tc>
        <w:tc>
          <w:tcPr/>
          <w:p>
            <w:pPr>
              <w:pStyle w:val="Compact"/>
              <w:jc w:val="left"/>
            </w:pPr>
            <w:r>
              <w:t xml:space="preserve">380.00</w:t>
            </w:r>
          </w:p>
        </w:tc>
        <w:tc>
          <w:tcPr/>
          <w:p>
            <w:pPr>
              <w:pStyle w:val="Compact"/>
              <w:jc w:val="left"/>
            </w:pPr>
            <w:r>
              <w:t xml:space="preserve">22,800.00</w:t>
            </w:r>
          </w:p>
        </w:tc>
      </w:tr>
      <w:tr>
        <w:tc>
          <w:tcPr/>
          <w:p>
            <w:pPr>
              <w:pStyle w:val="Compact"/>
              <w:jc w:val="left"/>
            </w:pPr>
            <w:r>
              <w:t xml:space="preserve">5</w:t>
            </w:r>
          </w:p>
        </w:tc>
        <w:tc>
          <w:tcPr/>
          <w:p>
            <w:pPr>
              <w:pStyle w:val="Compact"/>
              <w:jc w:val="left"/>
            </w:pPr>
            <w:r>
              <w:t xml:space="preserve">Project Manager – Client communication and change order management. Facilitated 8 formal change order reviews with the client's legal and finance departments. Documented all scope modifications and updated the project baseline schedule accordingly.</w:t>
            </w:r>
          </w:p>
        </w:tc>
        <w:tc>
          <w:tcPr/>
          <w:p>
            <w:pPr>
              <w:pStyle w:val="Compact"/>
              <w:jc w:val="left"/>
            </w:pPr>
            <w:r>
              <w:t xml:space="preserve">Project Manager</w:t>
            </w:r>
          </w:p>
        </w:tc>
        <w:tc>
          <w:tcPr/>
          <w:p>
            <w:pPr>
              <w:pStyle w:val="Compact"/>
              <w:jc w:val="left"/>
            </w:pPr>
            <w:r>
              <w:t xml:space="preserve">30</w:t>
            </w:r>
          </w:p>
        </w:tc>
        <w:tc>
          <w:tcPr/>
          <w:p>
            <w:pPr>
              <w:pStyle w:val="Compact"/>
              <w:jc w:val="left"/>
            </w:pPr>
            <w:r>
              <w:t xml:space="preserve">380.00</w:t>
            </w:r>
          </w:p>
        </w:tc>
        <w:tc>
          <w:tcPr/>
          <w:p>
            <w:pPr>
              <w:pStyle w:val="Compact"/>
              <w:jc w:val="left"/>
            </w:pPr>
            <w:r>
              <w:t xml:space="preserve">11,400.00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AED 167,000.00</w:t>
            </w:r>
          </w:p>
        </w:tc>
      </w:tr>
      <w:tr>
        <w:tc>
          <w:tcPr/>
          <w:p>
            <w:pPr>
              <w:pStyle w:val="Compact"/>
              <w:jc w:val="left"/>
            </w:pPr>
            <w:r>
              <w:t xml:space="preserve">VAT @ 5% (United Arab Emirates)</w:t>
            </w:r>
          </w:p>
        </w:tc>
        <w:tc>
          <w:tcPr/>
          <w:p>
            <w:pPr>
              <w:pStyle w:val="Compact"/>
              <w:jc w:val="left"/>
            </w:pPr>
            <w:r>
              <w:t xml:space="preserve">AED 8,350.00</w:t>
            </w:r>
          </w:p>
        </w:tc>
      </w:tr>
      <w:tr>
        <w:tc>
          <w:tcPr/>
          <w:p>
            <w:pPr>
              <w:pStyle w:val="Compact"/>
              <w:jc w:val="left"/>
            </w:pPr>
            <w:r>
              <w:t xml:space="preserve">Applicable Withholding / Service Tax</w:t>
            </w:r>
          </w:p>
        </w:tc>
        <w:tc>
          <w:tcPr/>
          <w:p>
            <w:pPr>
              <w:pStyle w:val="Compact"/>
              <w:jc w:val="left"/>
            </w:pPr>
            <w:r>
              <w:t xml:space="preserve">AED 0.00</w:t>
            </w:r>
          </w:p>
        </w:tc>
      </w:tr>
      <w:tr>
        <w:tc>
          <w:tcPr/>
          <w:p>
            <w:pPr>
              <w:pStyle w:val="Compact"/>
              <w:jc w:val="left"/>
            </w:pPr>
            <w:r>
              <w:t xml:space="preserve">Grand Total Due</w:t>
            </w:r>
          </w:p>
        </w:tc>
        <w:tc>
          <w:tcPr/>
          <w:p>
            <w:pPr>
              <w:pStyle w:val="Compact"/>
              <w:jc w:val="left"/>
            </w:pPr>
            <w:r>
              <w:t xml:space="preserve">AED 175,350.00</w:t>
            </w:r>
          </w:p>
        </w:tc>
      </w:tr>
    </w:tbl>
    <w:bookmarkStart w:id="25" w:name="invoice-notes"/>
    <w:p>
      <w:pPr>
        <w:pStyle w:val="Heading3"/>
      </w:pPr>
      <w:r>
        <w:t xml:space="preserve">Invoice Notes</w:t>
      </w:r>
    </w:p>
    <w:p>
      <w:pPr>
        <w:pStyle w:val="FirstParagraph"/>
      </w:pPr>
      <w:r>
        <w:t xml:space="preserve">This Invoice covers all Project Manager services rendered during the period of 01 May 2025 through 31 May 2025 for the Marina Tower Phase II project located in Jumeirah Marina, Dubai, United Arab Emirates.</w:t>
      </w:r>
    </w:p>
    <w:p>
      <w:pPr>
        <w:pStyle w:val="BodyText"/>
      </w:pPr>
      <w:r>
        <w:t xml:space="preserve">All rates quoted are in United Arab Emirates Dirhams (AED) and are inclusive of the Project Manager's professional expertise, site supervision, and administrative coordination. Travel within the Dubai metropolitan area is included; inter-emirate travel will be billed separately at cost.</w:t>
      </w:r>
    </w:p>
    <w:p>
      <w:pPr>
        <w:pStyle w:val="BodyText"/>
      </w:pPr>
      <w:r>
        <w:t xml:space="preserve">Payment is due within 15 calendar days from the date of this Invoice. Late payments shall attract a penalty of 2% per month in accordance with the terms of Contract No. ANG-PM-2025-0031 and applicable UAE commercial law.</w:t>
      </w:r>
    </w:p>
    <w:p>
      <w:pPr>
        <w:pStyle w:val="BodyText"/>
      </w:pPr>
      <w:r>
        <w:t xml:space="preserve">Please reference Invoice No. MPS-INV-2025-0472 in all correspondence and remittance advices. Direct any queries regarding this Invoice to our billing department at billing@meridianps.ae or +971 4 555 0182 ext. 204.</w:t>
      </w:r>
    </w:p>
    <w:bookmarkEnd w:id="25"/>
    <w:bookmarkStart w:id="26" w:name="terms-and-conditions"/>
    <w:p>
      <w:pPr>
        <w:pStyle w:val="Heading3"/>
      </w:pPr>
      <w:r>
        <w:t xml:space="preserve">Terms and Conditions</w:t>
      </w:r>
    </w:p>
    <w:p>
      <w:pPr>
        <w:pStyle w:val="FirstParagraph"/>
      </w:pPr>
      <w:r>
        <w:t xml:space="preserve">1. This Invoice is issued in accordance with the Federal Decree-Law No. 8 of 2017 on Value Added Tax in the United Arab Emirates and the relevant VAT regulations issued by the Federal Tax Authority (FTA) of Dubai.</w:t>
      </w:r>
    </w:p>
    <w:p>
      <w:pPr>
        <w:pStyle w:val="BodyText"/>
      </w:pPr>
      <w:r>
        <w:t xml:space="preserve">2. All Project Manager services described herein are governed by the Master Services Agreement dated 10 April 2025 between Meridian Project Solutions LLC and Al Noor Development Group FZE, both registered in the United Arab Emirates, Dubai.</w:t>
      </w:r>
    </w:p>
    <w:p>
      <w:pPr>
        <w:pStyle w:val="BodyText"/>
      </w:pPr>
      <w:r>
        <w:t xml:space="preserve">3. The Project Manager shall maintain full professional indemnity insurance and UAE mandatory work permit documentation throughout the engagement period. Copies of certificates are available upon request.</w:t>
      </w:r>
    </w:p>
    <w:p>
      <w:pPr>
        <w:pStyle w:val="BodyText"/>
      </w:pPr>
      <w:r>
        <w:t xml:space="preserve">4. Disputes arising from this Invoice or the underlying services shall be resolved through arbitration in Dubai under the rules of the Dubai International Arbitration Centre (DIAC), in accordance with UAE Federal Law No. 2 of 2005 on Civil and Commercial Arbitration.</w:t>
      </w:r>
    </w:p>
    <w:p>
      <w:pPr>
        <w:pStyle w:val="BodyText"/>
      </w:pPr>
      <w:r>
        <w:t xml:space="preserve">5. This Invoice constitutes a final statement of account for the referenced service period. No additional charges for the period 01 May 2025 – 31 May 2025 shall be invoiced unless a formal change order is executed in writing by both parties.</w:t>
      </w:r>
    </w:p>
    <w:bookmarkEnd w:id="26"/>
    <w:p>
      <w:pPr>
        <w:pStyle w:val="BodyText"/>
      </w:pPr>
      <w:r>
        <w:t xml:space="preserve">Meridian Project Solutions LLC | Registered in the United Arab Emirates, Dubai | Trade License No: 1048293</w:t>
      </w:r>
    </w:p>
    <w:p>
      <w:pPr>
        <w:pStyle w:val="BodyText"/>
      </w:pPr>
      <w:r>
        <w:t xml:space="preserve">This Invoice was generated electronically and is valid without a physical signature in accordance with UAE Electronic Transactions Law (Federal Decree-Law No. 1 of 2022).</w:t>
      </w:r>
    </w:p>
    <w:p>
      <w:pPr>
        <w:pStyle w:val="BodyText"/>
      </w:pPr>
      <w:r>
        <w:t xml:space="preserve">Thank you for your business. We look forward to continuing our partnership on the Marina Tower Phase II project in Dubai.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United Arab Emirates Dubai</dc:title>
  <dc:creator/>
  <dc:language>en</dc:language>
  <cp:keywords/>
  <dcterms:created xsi:type="dcterms:W3CDTF">2026-10-10T04:23:53Z</dcterms:created>
  <dcterms:modified xsi:type="dcterms:W3CDTF">2026-10-10T04:23:53Z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