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Medical</w:t>
      </w:r>
      <w:r>
        <w:t xml:space="preserve"> </w:t>
      </w:r>
      <w:r>
        <w:t xml:space="preserve">Invoice</w:t>
      </w:r>
      <w:r>
        <w:t xml:space="preserve"> </w:t>
      </w:r>
      <w:r>
        <w:t xml:space="preserve">-</w:t>
      </w:r>
      <w:r>
        <w:t xml:space="preserve"> </w:t>
      </w:r>
      <w:r>
        <w:t xml:space="preserve">Psychiatry</w:t>
      </w:r>
      <w:r>
        <w:t xml:space="preserve"> </w:t>
      </w:r>
      <w:r>
        <w:t xml:space="preserve">Services</w:t>
      </w:r>
      <w:r>
        <w:t xml:space="preserve"> </w:t>
      </w:r>
      <w:r>
        <w:t xml:space="preserve">-</w:t>
      </w:r>
      <w:r>
        <w:t xml:space="preserve"> </w:t>
      </w:r>
      <w:r>
        <w:t xml:space="preserve">Abu</w:t>
      </w:r>
      <w:r>
        <w:t xml:space="preserve"> </w:t>
      </w:r>
      <w:r>
        <w:t xml:space="preserve">Dhabi</w:t>
      </w:r>
    </w:p>
    <w:bookmarkStart w:id="21" w:name="abu-dhabi-advanced-psychiatry-center"/>
    <w:p>
      <w:pPr>
        <w:pStyle w:val="Heading1"/>
      </w:pPr>
      <w:r>
        <w:t xml:space="preserve">Abu Dhabi Advanced Psychiatry Center</w:t>
      </w:r>
    </w:p>
    <w:bookmarkStart w:id="20" w:name="specialized-mental-health-services"/>
    <w:p>
      <w:pPr>
        <w:pStyle w:val="Heading2"/>
      </w:pPr>
      <w:r>
        <w:t xml:space="preserve">Specialized Mental Health Services</w:t>
      </w:r>
    </w:p>
    <w:p>
      <w:pPr>
        <w:pStyle w:val="FirstParagraph"/>
      </w:pPr>
      <w:r>
        <w:t xml:space="preserve">Al Reem Island, Tower B, Level 4</w:t>
      </w:r>
      <w:r>
        <w:br/>
      </w:r>
      <w:r>
        <w:t xml:space="preserve">Abu Dhabi, United Arab Emirates</w:t>
      </w:r>
      <w:r>
        <w:br/>
      </w:r>
      <w:r>
        <w:t xml:space="preserve">P.O. Box: 12345</w:t>
      </w:r>
      <w:r>
        <w:br/>
      </w:r>
      <w:r>
        <w:t xml:space="preserve">Tel: +971 2 123 4567</w:t>
      </w:r>
      <w:r>
        <w:br/>
      </w:r>
      <w:r>
        <w:t xml:space="preserve">Email: billing@adpsychiatry.ae</w:t>
      </w:r>
      <w:r>
        <w:br/>
      </w:r>
      <w:r>
        <w:t xml:space="preserve">DHA License No: PSY-889900</w:t>
      </w:r>
    </w:p>
    <w:bookmarkEnd w:id="20"/>
    <w:bookmarkEnd w:id="21"/>
    <w:bookmarkStart w:id="22" w:name="invoice"/>
    <w:p>
      <w:pPr>
        <w:pStyle w:val="Heading1"/>
      </w:pPr>
      <w:r>
        <w:t xml:space="preserve">INVOICE</w:t>
      </w:r>
    </w:p>
    <w:p>
      <w:pPr>
        <w:pStyle w:val="FirstParagraph"/>
      </w:pPr>
      <w:r>
        <w:t xml:space="preserve">Tax Invoice</w:t>
      </w:r>
    </w:p>
    <w:bookmarkEnd w:id="22"/>
    <w:bookmarkStart w:id="23" w:name="bill-to"/>
    <w:p>
      <w:pPr>
        <w:pStyle w:val="Heading3"/>
      </w:pPr>
      <w:r>
        <w:t xml:space="preserve">Bill To:</w:t>
      </w:r>
    </w:p>
    <w:p>
      <w:pPr>
        <w:pStyle w:val="FirstParagraph"/>
      </w:pPr>
      <w:r>
        <w:rPr>
          <w:bCs/>
          <w:b/>
        </w:rPr>
        <w:t xml:space="preserve">Patient Name:</w:t>
      </w:r>
      <w:r>
        <w:t xml:space="preserve"> </w:t>
      </w:r>
      <w:r>
        <w:t xml:space="preserve">Mr. Ahmed Al-Mansoori</w:t>
      </w:r>
      <w:r>
        <w:br/>
      </w:r>
      <w:r>
        <w:rPr>
          <w:bCs/>
          <w:b/>
        </w:rPr>
        <w:t xml:space="preserve">Insurance Provider:</w:t>
      </w:r>
      <w:r>
        <w:t xml:space="preserve"> </w:t>
      </w:r>
      <w:r>
        <w:t xml:space="preserve">Daman Insurance Company</w:t>
      </w:r>
      <w:r>
        <w:br/>
      </w:r>
      <w:r>
        <w:rPr>
          <w:bCs/>
          <w:b/>
        </w:rPr>
        <w:t xml:space="preserve">Policy Number:</w:t>
      </w:r>
      <w:r>
        <w:t xml:space="preserve"> </w:t>
      </w:r>
      <w:r>
        <w:t xml:space="preserve">DAM-99887766</w:t>
      </w:r>
      <w:r>
        <w:br/>
      </w:r>
      <w:r>
        <w:rPr>
          <w:bCs/>
          <w:b/>
        </w:rPr>
        <w:t xml:space="preserve">Group ID:</w:t>
      </w:r>
      <w:r>
        <w:t xml:space="preserve"> </w:t>
      </w:r>
      <w:r>
        <w:t xml:space="preserve">GRP-554433</w:t>
      </w:r>
      <w:r>
        <w:br/>
      </w:r>
      <w:r>
        <w:rPr>
          <w:bCs/>
          <w:b/>
        </w:rPr>
        <w:t xml:space="preserve">Address:</w:t>
      </w:r>
      <w:r>
        <w:t xml:space="preserve"> </w:t>
      </w:r>
      <w:r>
        <w:t xml:space="preserve">Yas Island, Abu Dhabi, UAE</w:t>
      </w:r>
      <w:r>
        <w:br/>
      </w:r>
      <w:r>
        <w:rPr>
          <w:bCs/>
          <w:b/>
        </w:rPr>
        <w:t xml:space="preserve">Contact:</w:t>
      </w:r>
      <w:r>
        <w:t xml:space="preserve"> </w:t>
      </w:r>
      <w:r>
        <w:t xml:space="preserve">+971 50 123 4567</w:t>
      </w:r>
    </w:p>
    <w:bookmarkEnd w:id="23"/>
    <w:bookmarkStart w:id="24" w:name="invoice-details"/>
    <w:p>
      <w:pPr>
        <w:pStyle w:val="Heading3"/>
      </w:pPr>
      <w:r>
        <w:t xml:space="preserve">Invoice Details:</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Invoice Number:</w:t>
            </w:r>
          </w:p>
        </w:tc>
        <w:tc>
          <w:tcPr/>
          <w:p>
            <w:pPr>
              <w:pStyle w:val="Compact"/>
              <w:jc w:val="left"/>
            </w:pPr>
            <w:r>
              <w:t xml:space="preserve">INV-2023-10-0045</w:t>
            </w:r>
          </w:p>
        </w:tc>
      </w:tr>
      <w:tr>
        <w:tc>
          <w:tcPr/>
          <w:p>
            <w:pPr>
              <w:pStyle w:val="Compact"/>
              <w:jc w:val="left"/>
            </w:pPr>
            <w:r>
              <w:t xml:space="preserve">Date of Issue:</w:t>
            </w:r>
          </w:p>
        </w:tc>
        <w:tc>
          <w:tcPr/>
          <w:p>
            <w:pPr>
              <w:pStyle w:val="Compact"/>
              <w:jc w:val="left"/>
            </w:pPr>
            <w:r>
              <w:t xml:space="preserve">October 24, 2023</w:t>
            </w:r>
          </w:p>
        </w:tc>
      </w:tr>
      <w:tr>
        <w:tc>
          <w:tcPr/>
          <w:p>
            <w:pPr>
              <w:pStyle w:val="Compact"/>
              <w:jc w:val="left"/>
            </w:pPr>
            <w:r>
              <w:t xml:space="preserve">Date of Service:</w:t>
            </w:r>
          </w:p>
        </w:tc>
        <w:tc>
          <w:tcPr/>
          <w:p>
            <w:pPr>
              <w:pStyle w:val="Compact"/>
              <w:jc w:val="left"/>
            </w:pPr>
            <w:r>
              <w:t xml:space="preserve">October 20, 2023</w:t>
            </w:r>
          </w:p>
        </w:tc>
      </w:tr>
      <w:tr>
        <w:tc>
          <w:tcPr/>
          <w:p>
            <w:pPr>
              <w:pStyle w:val="Compact"/>
              <w:jc w:val="left"/>
            </w:pPr>
            <w:r>
              <w:t xml:space="preserve">Due Date:</w:t>
            </w:r>
          </w:p>
        </w:tc>
        <w:tc>
          <w:tcPr/>
          <w:p>
            <w:pPr>
              <w:pStyle w:val="Compact"/>
              <w:jc w:val="left"/>
            </w:pPr>
            <w:r>
              <w:t xml:space="preserve">November 24, 2023</w:t>
            </w:r>
          </w:p>
        </w:tc>
      </w:tr>
      <w:tr>
        <w:tc>
          <w:tcPr/>
          <w:p>
            <w:pPr>
              <w:pStyle w:val="Compact"/>
              <w:jc w:val="left"/>
            </w:pPr>
            <w:r>
              <w:t xml:space="preserve">Attending Psychiatrist:</w:t>
            </w:r>
          </w:p>
        </w:tc>
        <w:tc>
          <w:tcPr/>
          <w:p>
            <w:pPr>
              <w:pStyle w:val="Compact"/>
              <w:jc w:val="left"/>
            </w:pPr>
            <w:r>
              <w:t xml:space="preserve">Dr. Sarah Johnson, MD</w:t>
            </w:r>
          </w:p>
        </w:tc>
      </w:tr>
    </w:tbl>
    <w:bookmarkEnd w:id="24"/>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Description of Services</w:t>
            </w:r>
          </w:p>
        </w:tc>
        <w:tc>
          <w:tcPr/>
          <w:p>
            <w:pPr>
              <w:pStyle w:val="Compact"/>
              <w:jc w:val="left"/>
            </w:pPr>
            <w:r>
              <w:t xml:space="preserve">Code</w:t>
            </w:r>
          </w:p>
        </w:tc>
        <w:tc>
          <w:tcPr/>
          <w:p>
            <w:pPr>
              <w:pStyle w:val="Compact"/>
              <w:jc w:val="left"/>
            </w:pPr>
            <w:r>
              <w:t xml:space="preserve">Qty</w:t>
            </w:r>
          </w:p>
        </w:tc>
        <w:tc>
          <w:tcPr/>
          <w:p>
            <w:pPr>
              <w:pStyle w:val="Compact"/>
              <w:jc w:val="left"/>
            </w:pPr>
            <w:r>
              <w:t xml:space="preserve">Unit Price (AED)</w:t>
            </w:r>
          </w:p>
        </w:tc>
        <w:tc>
          <w:tcPr/>
          <w:p>
            <w:pPr>
              <w:pStyle w:val="Compact"/>
              <w:jc w:val="left"/>
            </w:pPr>
            <w:r>
              <w:t xml:space="preserve">Total (AED)</w:t>
            </w:r>
          </w:p>
        </w:tc>
      </w:tr>
      <w:tr>
        <w:tc>
          <w:tcPr/>
          <w:p>
            <w:pPr>
              <w:pStyle w:val="Compact"/>
              <w:jc w:val="left"/>
            </w:pPr>
            <w:r>
              <w:rPr>
                <w:bCs/>
                <w:b/>
              </w:rPr>
              <w:t xml:space="preserve">Initial Psychiatric Evaluation</w:t>
            </w:r>
            <w:r>
              <w:br/>
            </w:r>
            <w:r>
              <w:t xml:space="preserve">Comprehensive assessment including clinical history, mental status examination, and diagnostic formulation conducted by a board-certified Psychiatrist in Abu Dhabi.</w:t>
            </w:r>
          </w:p>
        </w:tc>
        <w:tc>
          <w:tcPr/>
          <w:p>
            <w:pPr>
              <w:pStyle w:val="Compact"/>
              <w:jc w:val="left"/>
            </w:pPr>
            <w:r>
              <w:t xml:space="preserve">90791</w:t>
            </w:r>
          </w:p>
        </w:tc>
        <w:tc>
          <w:tcPr/>
          <w:p>
            <w:pPr>
              <w:pStyle w:val="Compact"/>
              <w:jc w:val="left"/>
            </w:pPr>
            <w:r>
              <w:t xml:space="preserve">1</w:t>
            </w:r>
          </w:p>
        </w:tc>
        <w:tc>
          <w:tcPr/>
          <w:p>
            <w:pPr>
              <w:pStyle w:val="Compact"/>
              <w:jc w:val="left"/>
            </w:pPr>
            <w:r>
              <w:t xml:space="preserve">850.00</w:t>
            </w:r>
          </w:p>
        </w:tc>
        <w:tc>
          <w:tcPr/>
          <w:p>
            <w:pPr>
              <w:pStyle w:val="Compact"/>
              <w:jc w:val="left"/>
            </w:pPr>
            <w:r>
              <w:t xml:space="preserve">850.00</w:t>
            </w:r>
          </w:p>
        </w:tc>
      </w:tr>
      <w:tr>
        <w:tc>
          <w:tcPr/>
          <w:p>
            <w:pPr>
              <w:pStyle w:val="Compact"/>
              <w:jc w:val="left"/>
            </w:pPr>
            <w:r>
              <w:rPr>
                <w:bCs/>
                <w:b/>
              </w:rPr>
              <w:t xml:space="preserve">Psychiatric Follow-up Consultation</w:t>
            </w:r>
            <w:r>
              <w:br/>
            </w:r>
            <w:r>
              <w:t xml:space="preserve">Medication management review and therapeutic progress evaluation session.</w:t>
            </w:r>
          </w:p>
        </w:tc>
        <w:tc>
          <w:tcPr/>
          <w:p>
            <w:pPr>
              <w:pStyle w:val="Compact"/>
              <w:jc w:val="left"/>
            </w:pPr>
            <w:r>
              <w:t xml:space="preserve">90792</w:t>
            </w:r>
          </w:p>
        </w:tc>
        <w:tc>
          <w:tcPr/>
          <w:p>
            <w:pPr>
              <w:pStyle w:val="Compact"/>
              <w:jc w:val="left"/>
            </w:pPr>
            <w:r>
              <w:t xml:space="preserve">1</w:t>
            </w:r>
          </w:p>
        </w:tc>
        <w:tc>
          <w:tcPr/>
          <w:p>
            <w:pPr>
              <w:pStyle w:val="Compact"/>
              <w:jc w:val="left"/>
            </w:pPr>
            <w:r>
              <w:t xml:space="preserve">550.00</w:t>
            </w:r>
          </w:p>
        </w:tc>
        <w:tc>
          <w:tcPr/>
          <w:p>
            <w:pPr>
              <w:pStyle w:val="Compact"/>
              <w:jc w:val="left"/>
            </w:pPr>
            <w:r>
              <w:t xml:space="preserve">550.00</w:t>
            </w:r>
          </w:p>
        </w:tc>
      </w:tr>
      <w:tr>
        <w:tc>
          <w:tcPr/>
          <w:p>
            <w:pPr>
              <w:pStyle w:val="Compact"/>
              <w:jc w:val="left"/>
            </w:pPr>
            <w:r>
              <w:rPr>
                <w:bCs/>
                <w:b/>
              </w:rPr>
              <w:t xml:space="preserve">Psychological Testing Administration</w:t>
            </w:r>
            <w:r>
              <w:br/>
            </w:r>
            <w:r>
              <w:t xml:space="preserve">Administration and scoring of standardized cognitive and mood assessment tools.</w:t>
            </w:r>
          </w:p>
        </w:tc>
        <w:tc>
          <w:tcPr/>
          <w:p>
            <w:pPr>
              <w:pStyle w:val="Compact"/>
              <w:jc w:val="left"/>
            </w:pPr>
            <w:r>
              <w:t xml:space="preserve">96130</w:t>
            </w:r>
          </w:p>
        </w:tc>
        <w:tc>
          <w:tcPr/>
          <w:p>
            <w:pPr>
              <w:pStyle w:val="Compact"/>
              <w:jc w:val="left"/>
            </w:pPr>
            <w:r>
              <w:t xml:space="preserve">1</w:t>
            </w:r>
          </w:p>
        </w:tc>
        <w:tc>
          <w:tcPr/>
          <w:p>
            <w:pPr>
              <w:pStyle w:val="Compact"/>
              <w:jc w:val="left"/>
            </w:pPr>
            <w:r>
              <w:t xml:space="preserve">400.00</w:t>
            </w:r>
          </w:p>
        </w:tc>
        <w:tc>
          <w:tcPr/>
          <w:p>
            <w:pPr>
              <w:pStyle w:val="Compact"/>
              <w:jc w:val="left"/>
            </w:pPr>
            <w:r>
              <w:t xml:space="preserve">400.00</w:t>
            </w:r>
          </w:p>
        </w:tc>
      </w:tr>
      <w:tr>
        <w:tc>
          <w:tcPr/>
          <w:p>
            <w:pPr>
              <w:pStyle w:val="Compact"/>
              <w:jc w:val="left"/>
            </w:pPr>
            <w:r>
              <w:rPr>
                <w:bCs/>
                <w:b/>
              </w:rPr>
              <w:t xml:space="preserve">Medical Report Generation</w:t>
            </w:r>
            <w:r>
              <w:br/>
            </w:r>
            <w:r>
              <w:t xml:space="preserve">Detailed clinical summary for insurance and occupational health purposes compliant with UAE regulations.</w:t>
            </w:r>
          </w:p>
        </w:tc>
        <w:tc>
          <w:tcPr/>
          <w:p>
            <w:pPr>
              <w:pStyle w:val="Compact"/>
              <w:jc w:val="left"/>
            </w:pPr>
            <w:r>
              <w:t xml:space="preserve">99024</w:t>
            </w:r>
          </w:p>
        </w:tc>
        <w:tc>
          <w:tcPr/>
          <w:p>
            <w:pPr>
              <w:pStyle w:val="Compact"/>
              <w:jc w:val="left"/>
            </w:pPr>
            <w:r>
              <w:t xml:space="preserve">1</w:t>
            </w:r>
          </w:p>
        </w:tc>
        <w:tc>
          <w:tcPr/>
          <w:p>
            <w:pPr>
              <w:pStyle w:val="Compact"/>
              <w:jc w:val="left"/>
            </w:pPr>
            <w:r>
              <w:t xml:space="preserve">250.00</w:t>
            </w:r>
          </w:p>
        </w:tc>
        <w:tc>
          <w:tcPr/>
          <w:p>
            <w:pPr>
              <w:pStyle w:val="Compact"/>
              <w:jc w:val="left"/>
            </w:pPr>
            <w:r>
              <w:t xml:space="preserve">250.00</w:t>
            </w:r>
          </w:p>
        </w:tc>
      </w:tr>
    </w:tbl>
    <w:p>
      <w:pPr>
        <w:pStyle w:val="BodyText"/>
      </w:pPr>
      <w:r>
        <w:t xml:space="preserve">Subtotal:</w:t>
      </w:r>
      <w:r>
        <w:t xml:space="preserve"> </w:t>
      </w:r>
      <w:r>
        <w:t xml:space="preserve">2,050.00 AED</w:t>
      </w:r>
    </w:p>
    <w:p>
      <w:pPr>
        <w:pStyle w:val="BodyText"/>
      </w:pPr>
      <w:r>
        <w:t xml:space="preserve">VAT (5%):</w:t>
      </w:r>
      <w:r>
        <w:t xml:space="preserve"> </w:t>
      </w:r>
      <w:r>
        <w:t xml:space="preserve">102.50 AED</w:t>
      </w:r>
    </w:p>
    <w:p>
      <w:pPr>
        <w:pStyle w:val="BodyText"/>
      </w:pPr>
      <w:r>
        <w:t xml:space="preserve">Insurance Coverage:</w:t>
      </w:r>
      <w:r>
        <w:t xml:space="preserve"> </w:t>
      </w:r>
      <w:r>
        <w:t xml:space="preserve">-1,800.00 AED</w:t>
      </w:r>
    </w:p>
    <w:p>
      <w:pPr>
        <w:pStyle w:val="BodyText"/>
      </w:pPr>
      <w:r>
        <w:t xml:space="preserve">Amount Due:</w:t>
      </w:r>
      <w:r>
        <w:t xml:space="preserve"> </w:t>
      </w:r>
      <w:r>
        <w:t xml:space="preserve">352.50 AED</w:t>
      </w:r>
    </w:p>
    <w:bookmarkStart w:id="25" w:name="important-notes-terms"/>
    <w:p>
      <w:pPr>
        <w:pStyle w:val="Heading4"/>
      </w:pPr>
      <w:r>
        <w:t xml:space="preserve">Important Notes &amp; Terms:</w:t>
      </w:r>
    </w:p>
    <w:p>
      <w:pPr>
        <w:pStyle w:val="FirstParagraph"/>
      </w:pPr>
      <w:r>
        <w:t xml:space="preserve">This Invoice represents services rendered by a licensed Psychiatrist operating under the regulations of the Department of Health – Abu Dhabi (DoH). All medical services provided at the Abu Dhabi Advanced Psychiatry Center adhere to the highest standards of clinical care and patient confidentiality mandated by the United Arab Emirates healthcare authority.</w:t>
      </w:r>
    </w:p>
    <w:p>
      <w:pPr>
        <w:pStyle w:val="BodyText"/>
      </w:pPr>
      <w:r>
        <w:rPr>
          <w:bCs/>
          <w:b/>
        </w:rPr>
        <w:t xml:space="preserve">Payment Terms:</w:t>
      </w:r>
      <w:r>
        <w:t xml:space="preserve"> </w:t>
      </w:r>
      <w:r>
        <w:t xml:space="preserve">Payment is due within 30 days of the invoice date. For insurance claims, please submit this document along with the patient's ID copy and medical report to your respective insurer. Late payments may incur a service fee as per UAE commercial law.</w:t>
      </w:r>
    </w:p>
    <w:p>
      <w:pPr>
        <w:pStyle w:val="BodyText"/>
      </w:pPr>
      <w:r>
        <w:rPr>
          <w:bCs/>
          <w:b/>
        </w:rPr>
        <w:t xml:space="preserve">VAT Information:</w:t>
      </w:r>
      <w:r>
        <w:t xml:space="preserve"> </w:t>
      </w:r>
      <w:r>
        <w:t xml:space="preserve">Value Added Tax is applied at the standard rate of 5% in accordance with the Federal Tax Authority (FTA) of the United Arab Emirates. Our TRN is: 100 234 567 891 000.</w:t>
      </w:r>
    </w:p>
    <w:p>
      <w:pPr>
        <w:pStyle w:val="BodyText"/>
      </w:pPr>
      <w:r>
        <w:rPr>
          <w:bCs/>
          <w:b/>
        </w:rPr>
        <w:t xml:space="preserve">Privacy Policy:</w:t>
      </w:r>
      <w:r>
        <w:t xml:space="preserve"> </w:t>
      </w:r>
      <w:r>
        <w:t xml:space="preserve">Patient data shared via this invoice is protected under UAE Federal Decree-Law No. 45 of 2021 on the Protection of Personal Data.</w:t>
      </w:r>
    </w:p>
    <w:bookmarkEnd w:id="25"/>
    <w:p>
      <w:pPr>
        <w:pStyle w:val="BodyText"/>
      </w:pPr>
      <w:r>
        <w:t xml:space="preserve">Authorized Signature</w:t>
      </w:r>
    </w:p>
    <w:p>
      <w:pPr>
        <w:pStyle w:val="BodyText"/>
      </w:pPr>
      <w:r>
        <w:t xml:space="preserve">Dr. Sarah Johnson</w:t>
      </w:r>
      <w:r>
        <w:br/>
      </w:r>
      <w:r>
        <w:t xml:space="preserve">Lead Psychiatrist</w:t>
      </w:r>
      <w:r>
        <w:br/>
      </w:r>
      <w:r>
        <w:t xml:space="preserve">Abu Dhabi Advanced Psychiatry Center</w:t>
      </w:r>
    </w:p>
    <w:p>
      <w:pPr>
        <w:pStyle w:val="BodyText"/>
      </w:pPr>
      <w:r>
        <w:t xml:space="preserve">Abu Dhabi Advanced Psychiatry Center | Al Reem Island, Abu Dhabi, United Arab Emirates</w:t>
      </w:r>
      <w:r>
        <w:br/>
      </w:r>
      <w:r>
        <w:t xml:space="preserve">This is a computer-generated Invoice and does not require a physical stamp.</w:t>
      </w:r>
      <w:r>
        <w:br/>
      </w:r>
      <w:r>
        <w:t xml:space="preserve">For queries regarding this Invoice, please contact our billing department at billing@adpsychiatry.ae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Medical Invoice - Psychiatry Services - Abu Dhabi</dc:title>
  <dc:creator/>
  <dc:language>en</dc:language>
  <cp:keywords/>
  <dcterms:created xsi:type="dcterms:W3CDTF">2026-10-10T03:54:11Z</dcterms:created>
  <dcterms:modified xsi:type="dcterms:W3CDTF">2026-10-10T03:54:11Z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