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Psychiatry</w:t>
      </w:r>
      <w:r>
        <w:t xml:space="preserve"> </w:t>
      </w:r>
      <w:r>
        <w:t xml:space="preserve">Invoice</w:t>
      </w:r>
      <w:r>
        <w:t xml:space="preserve"> </w:t>
      </w:r>
      <w:r>
        <w:t xml:space="preserve">-</w:t>
      </w:r>
      <w:r>
        <w:t xml:space="preserve"> </w:t>
      </w:r>
      <w:r>
        <w:t xml:space="preserve">Dubai,</w:t>
      </w:r>
      <w:r>
        <w:t xml:space="preserve"> </w:t>
      </w:r>
      <w:r>
        <w:t xml:space="preserve">UAE</w:t>
      </w:r>
    </w:p>
    <w:bookmarkStart w:id="20" w:name="emirates-mindcare-psychiatry-center"/>
    <w:p>
      <w:pPr>
        <w:pStyle w:val="Heading1"/>
      </w:pPr>
      <w:r>
        <w:t xml:space="preserve">Emirates MindCare Psychiatry Center</w:t>
      </w:r>
    </w:p>
    <w:p>
      <w:pPr>
        <w:pStyle w:val="FirstParagraph"/>
      </w:pPr>
      <w:r>
        <w:t xml:space="preserve">License No: DHA-PSY-2024-8891</w:t>
      </w:r>
    </w:p>
    <w:p>
      <w:pPr>
        <w:pStyle w:val="BodyText"/>
      </w:pPr>
      <w:r>
        <w:t xml:space="preserve">Address: Level 12, Business Bay Tower, Dubai, United Arab Emirates</w:t>
      </w:r>
    </w:p>
    <w:p>
      <w:pPr>
        <w:pStyle w:val="BodyText"/>
      </w:pPr>
      <w:r>
        <w:t xml:space="preserve">Tel: +971 4 555 1234 | Email: billing@emiratesmindcare.ae</w:t>
      </w:r>
    </w:p>
    <w:p>
      <w:pPr>
        <w:pStyle w:val="BodyText"/>
      </w:pPr>
      <w:r>
        <w:t xml:space="preserve">TRN: 100123456700003</w:t>
      </w:r>
    </w:p>
    <w:bookmarkEnd w:id="20"/>
    <w:bookmarkStart w:id="21" w:name="invoice"/>
    <w:p>
      <w:pPr>
        <w:pStyle w:val="Heading2"/>
      </w:pPr>
      <w:r>
        <w:t xml:space="preserve">INVOICE</w:t>
      </w:r>
    </w:p>
    <w:p>
      <w:pPr>
        <w:pStyle w:val="FirstParagraph"/>
      </w:pPr>
      <w:r>
        <w:t xml:space="preserve">Invoice #: INV-2024-05-089</w:t>
      </w:r>
    </w:p>
    <w:p>
      <w:pPr>
        <w:pStyle w:val="BodyText"/>
      </w:pPr>
      <w:r>
        <w:t xml:space="preserve">Date: May 15, 2024</w:t>
      </w:r>
    </w:p>
    <w:p>
      <w:pPr>
        <w:pStyle w:val="BodyText"/>
      </w:pPr>
      <w:r>
        <w:t xml:space="preserve">Due Date: June 15, 2024</w:t>
      </w:r>
    </w:p>
    <w:p>
      <w:pPr>
        <w:pStyle w:val="BodyText"/>
      </w:pPr>
      <w:r>
        <w:t xml:space="preserve">Status: Pending Payment</w:t>
      </w:r>
    </w:p>
    <w:bookmarkEnd w:id="21"/>
    <w:bookmarkStart w:id="22" w:name="bill-to"/>
    <w:p>
      <w:pPr>
        <w:pStyle w:val="Heading3"/>
      </w:pPr>
      <w:r>
        <w:t xml:space="preserve">Bill To:</w:t>
      </w:r>
    </w:p>
    <w:p>
      <w:pPr>
        <w:pStyle w:val="FirstParagraph"/>
      </w:pPr>
      <w:r>
        <w:rPr>
          <w:bCs/>
          <w:b/>
        </w:rPr>
        <w:t xml:space="preserve">Patient Name:</w:t>
      </w:r>
      <w:r>
        <w:t xml:space="preserve"> </w:t>
      </w:r>
      <w:r>
        <w:t xml:space="preserve">Ahmed Al-Mansoori</w:t>
      </w:r>
    </w:p>
    <w:p>
      <w:pPr>
        <w:pStyle w:val="BodyText"/>
      </w:pPr>
      <w:r>
        <w:rPr>
          <w:bCs/>
          <w:b/>
        </w:rPr>
        <w:t xml:space="preserve">Insurance Provider:</w:t>
      </w:r>
      <w:r>
        <w:t xml:space="preserve"> </w:t>
      </w:r>
      <w:r>
        <w:t xml:space="preserve">Daman Insurance (if applicable)</w:t>
      </w:r>
    </w:p>
    <w:p>
      <w:pPr>
        <w:pStyle w:val="BodyText"/>
      </w:pPr>
      <w:r>
        <w:rPr>
          <w:bCs/>
          <w:b/>
        </w:rPr>
        <w:t xml:space="preserve">Policy Number:</w:t>
      </w:r>
      <w:r>
        <w:t xml:space="preserve"> </w:t>
      </w:r>
      <w:r>
        <w:t xml:space="preserve">DAM-789456123</w:t>
      </w:r>
    </w:p>
    <w:p>
      <w:pPr>
        <w:pStyle w:val="BodyText"/>
      </w:pPr>
      <w:r>
        <w:rPr>
          <w:bCs/>
          <w:b/>
        </w:rPr>
        <w:t xml:space="preserve">Address:</w:t>
      </w:r>
      <w:r>
        <w:t xml:space="preserve"> </w:t>
      </w:r>
      <w:r>
        <w:t xml:space="preserve">Villa 45, Palm Jumeirah, Dubai, United Arab Emirates</w:t>
      </w:r>
    </w:p>
    <w:p>
      <w:pPr>
        <w:pStyle w:val="BodyText"/>
      </w:pPr>
      <w:r>
        <w:rPr>
          <w:bCs/>
          <w:b/>
        </w:rPr>
        <w:t xml:space="preserve">Contact:</w:t>
      </w:r>
      <w:r>
        <w:t xml:space="preserve"> </w:t>
      </w:r>
      <w:r>
        <w:t xml:space="preserve">+971 50 123 4567</w:t>
      </w:r>
    </w:p>
    <w:bookmarkEnd w:id="22"/>
    <w:bookmarkStart w:id="23" w:name="services-rendered-by-psychiatrist"/>
    <w:p>
      <w:pPr>
        <w:pStyle w:val="Heading3"/>
      </w:pPr>
      <w:r>
        <w:t xml:space="preserve">Services Rendered by Psychiatrist</w:t>
      </w:r>
    </w:p>
    <w:p>
      <w:pPr>
        <w:pStyle w:val="FirstParagraph"/>
      </w:pPr>
      <w:r>
        <w:t xml:space="preserve">This invoice details the psychiatric services provided by Dr. Sarah Johnson, Consultant Psychiatrist, at Emirates MindCare Psychiatry Center in Dubai, United Arab Emirates. All services comply with the regulations set by the Dubai Health Authority (DHA) and adhere to international standards of psychiatric care.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Service</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Initial Psychiatric Evaluation and Diagnosis</w:t>
            </w:r>
          </w:p>
        </w:tc>
        <w:tc>
          <w:tcPr/>
          <w:p>
            <w:pPr>
              <w:pStyle w:val="Compact"/>
              <w:jc w:val="left"/>
            </w:pPr>
            <w:r>
              <w:t xml:space="preserve">May 1, 2024</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Follow-up Psychiatric Consultation (45 minutes)</w:t>
            </w:r>
          </w:p>
        </w:tc>
        <w:tc>
          <w:tcPr/>
          <w:p>
            <w:pPr>
              <w:pStyle w:val="Compact"/>
              <w:jc w:val="left"/>
            </w:pPr>
            <w:r>
              <w:t xml:space="preserve">May 8, 2024</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Psychiatric Medication Management Review</w:t>
            </w:r>
          </w:p>
        </w:tc>
        <w:tc>
          <w:tcPr/>
          <w:p>
            <w:pPr>
              <w:pStyle w:val="Compact"/>
              <w:jc w:val="left"/>
            </w:pPr>
            <w:r>
              <w:t xml:space="preserve">May 10, 2024</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Cognitive Behavioral Therapy (CBT) Session</w:t>
            </w:r>
          </w:p>
        </w:tc>
        <w:tc>
          <w:tcPr/>
          <w:p>
            <w:pPr>
              <w:pStyle w:val="Compact"/>
              <w:jc w:val="left"/>
            </w:pPr>
            <w:r>
              <w:t xml:space="preserve">May 12, 2024</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Psychiatric Assessment Report for Employer</w:t>
            </w:r>
          </w:p>
        </w:tc>
        <w:tc>
          <w:tcPr/>
          <w:p>
            <w:pPr>
              <w:pStyle w:val="Compact"/>
              <w:jc w:val="left"/>
            </w:pPr>
            <w:r>
              <w:t xml:space="preserve">May 14, 2024</w:t>
            </w:r>
          </w:p>
        </w:tc>
        <w:tc>
          <w:tcPr/>
          <w:p>
            <w:pPr>
              <w:pStyle w:val="Compact"/>
              <w:jc w:val="left"/>
            </w:pPr>
            <w:r>
              <w:t xml:space="preserve">1</w:t>
            </w:r>
          </w:p>
        </w:tc>
        <w:tc>
          <w:tcPr/>
          <w:p>
            <w:pPr>
              <w:pStyle w:val="Compact"/>
              <w:jc w:val="left"/>
            </w:pPr>
            <w:r>
              <w:t xml:space="preserve">900.00</w:t>
            </w:r>
          </w:p>
        </w:tc>
        <w:tc>
          <w:tcPr/>
          <w:p>
            <w:pPr>
              <w:pStyle w:val="Compact"/>
              <w:jc w:val="left"/>
            </w:pPr>
            <w:r>
              <w:t xml:space="preserve">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4,250.00 AED</w:t>
            </w:r>
          </w:p>
        </w:tc>
      </w:tr>
      <w:tr>
        <w:tc>
          <w:tcPr/>
          <w:p>
            <w:pPr>
              <w:pStyle w:val="Compact"/>
              <w:jc w:val="left"/>
            </w:pPr>
            <w:r>
              <w:t xml:space="preserve">VAT (5%):</w:t>
            </w:r>
          </w:p>
        </w:tc>
        <w:tc>
          <w:tcPr/>
          <w:p>
            <w:pPr>
              <w:pStyle w:val="Compact"/>
              <w:jc w:val="left"/>
            </w:pPr>
            <w:r>
              <w:t xml:space="preserve">212.50 AED</w:t>
            </w:r>
          </w:p>
        </w:tc>
      </w:tr>
      <w:tr>
        <w:tc>
          <w:tcPr/>
          <w:p>
            <w:pPr>
              <w:pStyle w:val="Compact"/>
              <w:jc w:val="left"/>
            </w:pPr>
            <w:r>
              <w:t xml:space="preserve">Total Amount Due:</w:t>
            </w:r>
          </w:p>
        </w:tc>
        <w:tc>
          <w:tcPr/>
          <w:p>
            <w:pPr>
              <w:pStyle w:val="Compact"/>
              <w:jc w:val="left"/>
            </w:pPr>
            <w:r>
              <w:t xml:space="preserve">4,462.50 AED</w:t>
            </w:r>
          </w:p>
        </w:tc>
      </w:tr>
    </w:tbl>
    <w:bookmarkEnd w:id="23"/>
    <w:bookmarkStart w:id="25" w:name="payment-instructions"/>
    <w:p>
      <w:pPr>
        <w:pStyle w:val="Heading3"/>
      </w:pPr>
      <w:r>
        <w:t xml:space="preserve">Payment Instructions</w:t>
      </w:r>
    </w:p>
    <w:p>
      <w:pPr>
        <w:pStyle w:val="FirstParagraph"/>
      </w:pPr>
      <w:r>
        <w:t xml:space="preserve">Please remit payment within 30 days of the invoice date. Payments can be made via bank transfer, credit card, or cash at our clinic in Dubai, United Arab Emirates. For bank transfers, please use the following details:</w:t>
      </w:r>
    </w:p>
    <w:p>
      <w:pPr>
        <w:numPr>
          <w:ilvl w:val="0"/>
          <w:numId w:val="1001"/>
        </w:numPr>
        <w:pStyle w:val="Compact"/>
      </w:pPr>
      <w:r>
        <w:rPr>
          <w:bCs/>
          <w:b/>
        </w:rPr>
        <w:t xml:space="preserve">Bank Name:</w:t>
      </w:r>
      <w:r>
        <w:t xml:space="preserve"> </w:t>
      </w:r>
      <w:r>
        <w:t xml:space="preserve">Emirates NBD</w:t>
      </w:r>
    </w:p>
    <w:p>
      <w:pPr>
        <w:numPr>
          <w:ilvl w:val="0"/>
          <w:numId w:val="1001"/>
        </w:numPr>
        <w:pStyle w:val="Compact"/>
      </w:pPr>
      <w:r>
        <w:rPr>
          <w:bCs/>
          <w:b/>
        </w:rPr>
        <w:t xml:space="preserve">Account Name:</w:t>
      </w:r>
      <w:r>
        <w:t xml:space="preserve"> </w:t>
      </w:r>
      <w:r>
        <w:t xml:space="preserve">Emirates MindCare Psychiatry Center</w:t>
      </w:r>
    </w:p>
    <w:p>
      <w:pPr>
        <w:numPr>
          <w:ilvl w:val="0"/>
          <w:numId w:val="1001"/>
        </w:numPr>
        <w:pStyle w:val="Compact"/>
      </w:pPr>
      <w:r>
        <w:rPr>
          <w:bCs/>
          <w:b/>
        </w:rPr>
        <w:t xml:space="preserve">Account Number:</w:t>
      </w:r>
      <w:r>
        <w:t xml:space="preserve"> </w:t>
      </w:r>
      <w:r>
        <w:t xml:space="preserve">1001234567890</w:t>
      </w:r>
    </w:p>
    <w:p>
      <w:pPr>
        <w:numPr>
          <w:ilvl w:val="0"/>
          <w:numId w:val="1001"/>
        </w:numPr>
        <w:pStyle w:val="Compact"/>
      </w:pPr>
      <w:r>
        <w:rPr>
          <w:bCs/>
          <w:b/>
        </w:rPr>
        <w:t xml:space="preserve">IBAN:</w:t>
      </w:r>
      <w:r>
        <w:t xml:space="preserve"> </w:t>
      </w:r>
      <w:r>
        <w:t xml:space="preserve">AE070331234567890123456</w:t>
      </w:r>
    </w:p>
    <w:p>
      <w:pPr>
        <w:numPr>
          <w:ilvl w:val="0"/>
          <w:numId w:val="1001"/>
        </w:numPr>
        <w:pStyle w:val="Compact"/>
      </w:pPr>
      <w:r>
        <w:rPr>
          <w:bCs/>
          <w:b/>
        </w:rPr>
        <w:t xml:space="preserve">SWIFT Code:</w:t>
      </w:r>
      <w:r>
        <w:t xml:space="preserve"> </w:t>
      </w:r>
      <w:r>
        <w:t xml:space="preserve">EBILAEAD</w:t>
      </w:r>
    </w:p>
    <w:bookmarkStart w:id="24" w:name="important-notes"/>
    <w:p>
      <w:pPr>
        <w:pStyle w:val="Heading4"/>
      </w:pPr>
      <w:r>
        <w:t xml:space="preserve">Important Notes:</w:t>
      </w:r>
    </w:p>
    <w:p>
      <w:pPr>
        <w:pStyle w:val="FirstParagraph"/>
      </w:pPr>
      <w:r>
        <w:t xml:space="preserve">1. This invoice is issued in accordance with the Federal Decree-Law No. 8 of 2017 on Value Added Tax in the United Arab Emirates.</w:t>
      </w:r>
    </w:p>
    <w:p>
      <w:pPr>
        <w:pStyle w:val="BodyText"/>
      </w:pPr>
      <w:r>
        <w:t xml:space="preserve">2. All psychiatric services provided are confidential and comply with the UAE's healthcare privacy regulations.</w:t>
      </w:r>
    </w:p>
    <w:p>
      <w:pPr>
        <w:pStyle w:val="BodyText"/>
      </w:pPr>
      <w:r>
        <w:t xml:space="preserve">3. If you have insurance coverage, please submit this invoice along with the required medical reports to your insurance provider for reimbursement.</w:t>
      </w:r>
    </w:p>
    <w:p>
      <w:pPr>
        <w:pStyle w:val="BodyText"/>
      </w:pPr>
      <w:r>
        <w:t xml:space="preserve">4. Late payments may incur a penalty of 2% per month on the outstanding balance, as per UAE commercial law.</w:t>
      </w:r>
    </w:p>
    <w:p>
      <w:pPr>
        <w:pStyle w:val="BodyText"/>
      </w:pPr>
      <w:r>
        <w:t xml:space="preserve">5. For any queries regarding this invoice or the services provided by our psychiatrist, please contact our billing department at billing@emiratesmindcare.ae or call +971 4 555 1234.</w:t>
      </w:r>
    </w:p>
    <w:p>
      <w:pPr>
        <w:pStyle w:val="BodyText"/>
      </w:pPr>
      <w:r>
        <w:t xml:space="preserve">6. Emirates MindCare Psychiatry Center is committed to providing high-quality mental health services in Dubai, United Arab Emirates, and beyond.</w:t>
      </w:r>
    </w:p>
    <w:bookmarkEnd w:id="24"/>
    <w:p>
      <w:pPr>
        <w:pStyle w:val="BodyText"/>
      </w:pPr>
      <w:r>
        <w:t xml:space="preserve">Authorized Signature</w:t>
      </w:r>
      <w:r>
        <w:br/>
      </w:r>
      <w:r>
        <w:t xml:space="preserve">Dr. Sarah Johnson</w:t>
      </w:r>
      <w:r>
        <w:br/>
      </w:r>
      <w:r>
        <w:t xml:space="preserve">Consultant Psychiatrist</w:t>
      </w:r>
    </w:p>
    <w:p>
      <w:pPr>
        <w:pStyle w:val="BodyText"/>
      </w:pPr>
      <w:r>
        <w:t xml:space="preserve">Patient Signature</w:t>
      </w:r>
      <w:r>
        <w:br/>
      </w:r>
      <w:r>
        <w:t xml:space="preserve">Ahmed Al-Mansoori</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Psychiatry Invoice - Dubai, UAE</dc:title>
  <dc:creator/>
  <dc:language>en</dc:language>
  <cp:keywords/>
  <dcterms:created xsi:type="dcterms:W3CDTF">2026-10-10T02:44:30Z</dcterms:created>
  <dcterms:modified xsi:type="dcterms:W3CDTF">2026-10-10T02:44:30Z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