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Robotics</w:t>
      </w:r>
      <w:r>
        <w:t xml:space="preserve"> </w:t>
      </w:r>
      <w:r>
        <w:t xml:space="preserve">Engineering</w:t>
      </w:r>
      <w:r>
        <w:t xml:space="preserve"> </w:t>
      </w:r>
      <w:r>
        <w:t xml:space="preserve">Services</w:t>
      </w:r>
    </w:p>
    <w:bookmarkStart w:id="20" w:name="brussels-advanced-robotics-solutions"/>
    <w:p>
      <w:pPr>
        <w:pStyle w:val="Heading1"/>
      </w:pPr>
      <w:r>
        <w:t xml:space="preserve">Brussels Advanced Robotics Solutions</w:t>
      </w:r>
    </w:p>
    <w:p>
      <w:pPr>
        <w:pStyle w:val="FirstParagraph"/>
      </w:pPr>
      <w:r>
        <w:t xml:space="preserve">123 Avenue Louise, 1050 Brussels, Belgium</w:t>
      </w:r>
    </w:p>
    <w:p>
      <w:pPr>
        <w:pStyle w:val="BodyText"/>
      </w:pPr>
      <w:r>
        <w:t xml:space="preserve">VAT ID: BE0123.456.789</w:t>
      </w:r>
    </w:p>
    <w:p>
      <w:pPr>
        <w:pStyle w:val="BodyText"/>
      </w:pPr>
      <w:r>
        <w:t xml:space="preserve">Email: billing@brusselsrobotics.be</w:t>
      </w:r>
    </w:p>
    <w:p>
      <w:pPr>
        <w:pStyle w:val="BodyText"/>
      </w:pPr>
      <w:r>
        <w:t xml:space="preserve">Phone: +32 2 555 0199</w:t>
      </w:r>
    </w:p>
    <w:bookmarkEnd w:id="20"/>
    <w:bookmarkStart w:id="21" w:name="invoice"/>
    <w:p>
      <w:pPr>
        <w:pStyle w:val="Heading2"/>
      </w:pPr>
      <w:r>
        <w:t xml:space="preserve">INVOICE</w:t>
      </w:r>
    </w:p>
    <w:p>
      <w:pPr>
        <w:pStyle w:val="FirstParagraph"/>
      </w:pPr>
      <w:r>
        <w:t xml:space="preserve">Professional Services</w:t>
      </w:r>
    </w:p>
    <w:bookmarkEnd w:id="21"/>
    <w:bookmarkStart w:id="22" w:name="bill-to"/>
    <w:p>
      <w:pPr>
        <w:pStyle w:val="Heading3"/>
      </w:pPr>
      <w:r>
        <w:t xml:space="preserve">Bill To:</w:t>
      </w:r>
    </w:p>
    <w:p>
      <w:pPr>
        <w:pStyle w:val="FirstParagraph"/>
      </w:pPr>
      <w:r>
        <w:rPr>
          <w:bCs/>
          <w:b/>
        </w:rPr>
        <w:t xml:space="preserve">European Logistics Automation GmbH</w:t>
      </w:r>
    </w:p>
    <w:p>
      <w:pPr>
        <w:pStyle w:val="BodyText"/>
      </w:pPr>
      <w:r>
        <w:t xml:space="preserve">Attn: Procurement Department</w:t>
      </w:r>
    </w:p>
    <w:p>
      <w:pPr>
        <w:pStyle w:val="BodyText"/>
      </w:pPr>
      <w:r>
        <w:t xml:space="preserve">45 Rue de la Loi, 1040 Brussels, Belgium</w:t>
      </w:r>
    </w:p>
    <w:p>
      <w:pPr>
        <w:pStyle w:val="BodyText"/>
      </w:pPr>
      <w:r>
        <w:t xml:space="preserve">VAT ID: BE987.654.321</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INV-2023-ROB-089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Project Reference:</w:t>
      </w:r>
      <w:r>
        <w:t xml:space="preserve"> </w:t>
      </w:r>
      <w:r>
        <w:t xml:space="preserve">BRU-AUTO-2023-Q4</w:t>
      </w:r>
    </w:p>
    <w:bookmarkEnd w:id="23"/>
    <w:bookmarkStart w:id="24" w:name="X25dbd20ce1b255d87021322e2a04c54c0fd0a46"/>
    <w:p>
      <w:pPr>
        <w:pStyle w:val="Heading4"/>
      </w:pPr>
      <w:r>
        <w:t xml:space="preserve">Project Context: Robotics Engineering in Brussels</w:t>
      </w:r>
    </w:p>
    <w:p>
      <w:pPr>
        <w:pStyle w:val="FirstParagraph"/>
      </w:pPr>
      <w:r>
        <w:t xml:space="preserve">This Invoice pertains to specialized Robotics Engineer services provided to optimize automated material handling systems within the client's distribution center located in the Brussels-Capital Region. The scope of work involved high-level kinematic modeling, sensor integration, and safety compliance testing in accordance with Belgian labor laws and EU machinery directives. The Robotics Engineer deployed advanced algorithms to enhance the efficiency of autonomous mobile robots (AMRs) operating in a dense urban logistics environment.</w:t>
      </w:r>
    </w:p>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rPr>
                <w:bCs/>
                <w:b/>
              </w:rPr>
              <w:t xml:space="preserve">System Architecture Design &amp; Consultation</w:t>
            </w:r>
            <w:r>
              <w:br/>
            </w:r>
            <w:r>
              <w:t xml:space="preserve">Initial assessment of the warehouse layout in Brussels. The Robotics Engineer designed a scalable architecture for a fleet of 20 collaborative robots. This included defining communication protocols (ROS2) and ensuring interoperability with existing legacy systems.</w:t>
            </w:r>
          </w:p>
        </w:tc>
        <w:tc>
          <w:tcPr/>
          <w:p>
            <w:pPr>
              <w:pStyle w:val="Compact"/>
              <w:jc w:val="left"/>
            </w:pPr>
            <w:r>
              <w:t xml:space="preserve">16.0</w:t>
            </w:r>
          </w:p>
        </w:tc>
        <w:tc>
          <w:tcPr/>
          <w:p>
            <w:pPr>
              <w:pStyle w:val="Compact"/>
              <w:jc w:val="left"/>
            </w:pPr>
            <w:r>
              <w:t xml:space="preserve">180.00</w:t>
            </w:r>
          </w:p>
        </w:tc>
        <w:tc>
          <w:tcPr/>
          <w:p>
            <w:pPr>
              <w:pStyle w:val="Compact"/>
              <w:jc w:val="left"/>
            </w:pPr>
            <w:r>
              <w:t xml:space="preserve">2,880.00</w:t>
            </w:r>
          </w:p>
        </w:tc>
      </w:tr>
      <w:tr>
        <w:tc>
          <w:tcPr/>
          <w:p>
            <w:pPr>
              <w:pStyle w:val="Compact"/>
              <w:jc w:val="left"/>
            </w:pPr>
            <w:r>
              <w:t xml:space="preserve">2</w:t>
            </w:r>
          </w:p>
        </w:tc>
        <w:tc>
          <w:tcPr/>
          <w:p>
            <w:pPr>
              <w:pStyle w:val="Compact"/>
              <w:jc w:val="left"/>
            </w:pPr>
            <w:r>
              <w:rPr>
                <w:bCs/>
                <w:b/>
              </w:rPr>
              <w:t xml:space="preserve">SLAM Algorithm Implementation &amp; Tuning</w:t>
            </w:r>
            <w:r>
              <w:br/>
            </w:r>
            <w:r>
              <w:t xml:space="preserve">Development and fine-tuning of Simultaneous Localization and Mapping (SLAM) algorithms. The Robotics Engineer optimized navigation paths to handle the specific dynamic obstacles found in the Brussels facility, ensuring 99.9% uptime and collision avoidance.</w:t>
            </w:r>
          </w:p>
        </w:tc>
        <w:tc>
          <w:tcPr/>
          <w:p>
            <w:pPr>
              <w:pStyle w:val="Compact"/>
              <w:jc w:val="left"/>
            </w:pPr>
            <w:r>
              <w:t xml:space="preserve">40.0</w:t>
            </w:r>
          </w:p>
        </w:tc>
        <w:tc>
          <w:tcPr/>
          <w:p>
            <w:pPr>
              <w:pStyle w:val="Compact"/>
              <w:jc w:val="left"/>
            </w:pPr>
            <w:r>
              <w:t xml:space="preserve">180.00</w:t>
            </w:r>
          </w:p>
        </w:tc>
        <w:tc>
          <w:tcPr/>
          <w:p>
            <w:pPr>
              <w:pStyle w:val="Compact"/>
              <w:jc w:val="left"/>
            </w:pPr>
            <w:r>
              <w:t xml:space="preserve">7,200.00</w:t>
            </w:r>
          </w:p>
        </w:tc>
      </w:tr>
      <w:tr>
        <w:tc>
          <w:tcPr/>
          <w:p>
            <w:pPr>
              <w:pStyle w:val="Compact"/>
              <w:jc w:val="left"/>
            </w:pPr>
            <w:r>
              <w:t xml:space="preserve">3</w:t>
            </w:r>
          </w:p>
        </w:tc>
        <w:tc>
          <w:tcPr/>
          <w:p>
            <w:pPr>
              <w:pStyle w:val="Compact"/>
              <w:jc w:val="left"/>
            </w:pPr>
            <w:r>
              <w:rPr>
                <w:bCs/>
                <w:b/>
              </w:rPr>
              <w:t xml:space="preserve">Hardware Integration &amp; Sensor Calibration</w:t>
            </w:r>
            <w:r>
              <w:br/>
            </w:r>
            <w:r>
              <w:t xml:space="preserve">Physical installation and calibration of LiDAR sensors and depth cameras on robotic arms. The Robotics Engineer ensured precise calibration to meet the strict safety standards required for human-robot collaboration in Belgium.</w:t>
            </w:r>
          </w:p>
        </w:tc>
        <w:tc>
          <w:tcPr/>
          <w:p>
            <w:pPr>
              <w:pStyle w:val="Compact"/>
              <w:jc w:val="left"/>
            </w:pPr>
            <w:r>
              <w:t xml:space="preserve">24.0</w:t>
            </w:r>
          </w:p>
        </w:tc>
        <w:tc>
          <w:tcPr/>
          <w:p>
            <w:pPr>
              <w:pStyle w:val="Compact"/>
              <w:jc w:val="left"/>
            </w:pPr>
            <w:r>
              <w:t xml:space="preserve">180.00</w:t>
            </w:r>
          </w:p>
        </w:tc>
        <w:tc>
          <w:tcPr/>
          <w:p>
            <w:pPr>
              <w:pStyle w:val="Compact"/>
              <w:jc w:val="left"/>
            </w:pPr>
            <w:r>
              <w:t xml:space="preserve">4,320.00</w:t>
            </w:r>
          </w:p>
        </w:tc>
      </w:tr>
      <w:tr>
        <w:tc>
          <w:tcPr/>
          <w:p>
            <w:pPr>
              <w:pStyle w:val="Compact"/>
              <w:jc w:val="left"/>
            </w:pPr>
            <w:r>
              <w:t xml:space="preserve">4</w:t>
            </w:r>
          </w:p>
        </w:tc>
        <w:tc>
          <w:tcPr/>
          <w:p>
            <w:pPr>
              <w:pStyle w:val="Compact"/>
              <w:jc w:val="left"/>
            </w:pPr>
            <w:r>
              <w:rPr>
                <w:bCs/>
                <w:b/>
              </w:rPr>
              <w:t xml:space="preserve">Compliance Testing (CE Marking Support)</w:t>
            </w:r>
            <w:r>
              <w:br/>
            </w:r>
            <w:r>
              <w:t xml:space="preserve">Conducting rigorous safety tests to ensure compliance with the EU Machinery Directive 2006/42/EC. The Robotics Engineer documented risk assessments and emergency stop functionality, a critical requirement for operating automated systems in Brussels.</w:t>
            </w:r>
          </w:p>
        </w:tc>
        <w:tc>
          <w:tcPr/>
          <w:p>
            <w:pPr>
              <w:pStyle w:val="Compact"/>
              <w:jc w:val="left"/>
            </w:pPr>
            <w:r>
              <w:t xml:space="preserve">12.0</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5</w:t>
            </w:r>
          </w:p>
        </w:tc>
        <w:tc>
          <w:tcPr/>
          <w:p>
            <w:pPr>
              <w:pStyle w:val="Compact"/>
              <w:jc w:val="left"/>
            </w:pPr>
            <w:r>
              <w:rPr>
                <w:bCs/>
                <w:b/>
              </w:rPr>
              <w:t xml:space="preserve">Staff Training &amp; Documentation</w:t>
            </w:r>
            <w:r>
              <w:br/>
            </w:r>
            <w:r>
              <w:t xml:space="preserve">On-site training for the client's maintenance team in Brussels. The Robotics Engineer provided comprehensive documentation on troubleshooting, routine maintenance, and software updates for the robotic fleet.</w:t>
            </w:r>
          </w:p>
        </w:tc>
        <w:tc>
          <w:tcPr/>
          <w:p>
            <w:pPr>
              <w:pStyle w:val="Compact"/>
              <w:jc w:val="left"/>
            </w:pPr>
            <w:r>
              <w:t xml:space="preserve">8.0</w:t>
            </w:r>
          </w:p>
        </w:tc>
        <w:tc>
          <w:tcPr/>
          <w:p>
            <w:pPr>
              <w:pStyle w:val="Compact"/>
              <w:jc w:val="left"/>
            </w:pPr>
            <w:r>
              <w:t xml:space="preserve">180.00</w:t>
            </w:r>
          </w:p>
        </w:tc>
        <w:tc>
          <w:tcPr/>
          <w:p>
            <w:pPr>
              <w:pStyle w:val="Compact"/>
              <w:jc w:val="left"/>
            </w:pPr>
            <w:r>
              <w:t xml:space="preserve">1,440.00</w:t>
            </w:r>
          </w:p>
        </w:tc>
      </w:tr>
    </w:tbl>
    <w:p>
      <w:pPr>
        <w:pStyle w:val="BodyText"/>
      </w:pPr>
      <w:r>
        <w:t xml:space="preserve">Subtotal (Net)</w:t>
      </w:r>
      <w:r>
        <w:t xml:space="preserve"> </w:t>
      </w:r>
      <w:r>
        <w:t xml:space="preserve">18,000.00 EUR</w:t>
      </w:r>
    </w:p>
    <w:p>
      <w:pPr>
        <w:pStyle w:val="BodyText"/>
      </w:pPr>
      <w:r>
        <w:t xml:space="preserve">VAT (21% - Belgium Standard Rate)</w:t>
      </w:r>
      <w:r>
        <w:t xml:space="preserve"> </w:t>
      </w:r>
      <w:r>
        <w:t xml:space="preserve">3,780.00 EUR</w:t>
      </w:r>
    </w:p>
    <w:p>
      <w:pPr>
        <w:pStyle w:val="BodyText"/>
      </w:pPr>
      <w:r>
        <w:t xml:space="preserve">Total Amount Due</w:t>
      </w:r>
      <w:r>
        <w:t xml:space="preserve"> </w:t>
      </w:r>
      <w:r>
        <w:t xml:space="preserve">21,780.00 EUR</w:t>
      </w:r>
    </w:p>
    <w:bookmarkStart w:id="25" w:name="payment-terms-banking-information"/>
    <w:p>
      <w:pPr>
        <w:pStyle w:val="Heading4"/>
      </w:pPr>
      <w:r>
        <w:t xml:space="preserve">Payment Terms &amp; Banking Information</w:t>
      </w:r>
    </w:p>
    <w:p>
      <w:pPr>
        <w:pStyle w:val="FirstParagraph"/>
      </w:pPr>
      <w:r>
        <w:rPr>
          <w:bCs/>
          <w:b/>
        </w:rPr>
        <w:t xml:space="preserve">Payment Method:</w:t>
      </w:r>
      <w:r>
        <w:t xml:space="preserve"> </w:t>
      </w:r>
      <w:r>
        <w:t xml:space="preserve">Bank Transfer (SEPA)</w:t>
      </w:r>
      <w:r>
        <w:br/>
      </w:r>
      <w:r>
        <w:rPr>
          <w:bCs/>
          <w:b/>
        </w:rPr>
        <w:t xml:space="preserve">Bank Name:</w:t>
      </w:r>
      <w:r>
        <w:t xml:space="preserve"> </w:t>
      </w:r>
      <w:r>
        <w:t xml:space="preserve">KBC Bank Brussels</w:t>
      </w:r>
      <w:r>
        <w:br/>
      </w:r>
      <w:r>
        <w:rPr>
          <w:bCs/>
          <w:b/>
        </w:rPr>
        <w:t xml:space="preserve">IBAN:</w:t>
      </w:r>
      <w:r>
        <w:t xml:space="preserve"> </w:t>
      </w:r>
      <w:r>
        <w:t xml:space="preserve">BE68 5390 0754 7034</w:t>
      </w:r>
      <w:r>
        <w:br/>
      </w:r>
      <w:r>
        <w:rPr>
          <w:bCs/>
          <w:b/>
        </w:rPr>
        <w:t xml:space="preserve">BIC/SWIFT:</w:t>
      </w:r>
      <w:r>
        <w:t xml:space="preserve"> </w:t>
      </w:r>
      <w:r>
        <w:t xml:space="preserve">KREDBEBB</w:t>
      </w:r>
      <w:r>
        <w:br/>
      </w:r>
      <w:r>
        <w:rPr>
          <w:bCs/>
          <w:b/>
        </w:rPr>
        <w:t xml:space="preserve">Reference:</w:t>
      </w:r>
      <w:r>
        <w:t xml:space="preserve"> </w:t>
      </w:r>
      <w:r>
        <w:t xml:space="preserve">Please use Invoice Number INV-2023-ROB-089 as the payment reference.</w:t>
      </w:r>
    </w:p>
    <w:p>
      <w:pPr>
        <w:pStyle w:val="BodyText"/>
      </w:pPr>
      <w:r>
        <w:t xml:space="preserve">Payment is due within 30 days of the invoice date. Late payments may incur interest charges in accordance with Belgian law regarding late payment of commercial debts. As a Robotics Engineer operating within the Brussels market, we ensure all financial transactions adhere to local fiscal regulations.</w:t>
      </w:r>
    </w:p>
    <w:bookmarkEnd w:id="25"/>
    <w:p>
      <w:pPr>
        <w:pStyle w:val="BodyText"/>
      </w:pPr>
      <w:r>
        <w:t xml:space="preserve">Brussels Advanced Robotics Solutions | 123 Avenue Louise, 1050 Brussels, Belgium</w:t>
      </w:r>
      <w:r>
        <w:br/>
      </w:r>
      <w:r>
        <w:t xml:space="preserve">VAT ID: BE0123.456.789 | Registered in the Crossroads Bank for Enterprises (KBO)</w:t>
      </w:r>
      <w:r>
        <w:br/>
      </w:r>
      <w:r>
        <w:t xml:space="preserve">This Invoice is generated electronically and is valid without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Robotics Engineering Services</dc:title>
  <dc:creator/>
  <dc:language>en</dc:language>
  <cp:keywords/>
  <dcterms:created xsi:type="dcterms:W3CDTF">2026-10-10T04:31:50Z</dcterms:created>
  <dcterms:modified xsi:type="dcterms:W3CDTF">2026-10-10T04:31:50Z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