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berlin-robotics-solutions-gmbh"/>
    <w:p>
      <w:pPr>
        <w:pStyle w:val="Heading1"/>
      </w:pPr>
      <w:r>
        <w:t xml:space="preserve">BERLIN ROBOTICS SOLUTIONS GMBH</w:t>
      </w:r>
    </w:p>
    <w:p>
      <w:pPr>
        <w:pStyle w:val="FirstParagraph"/>
      </w:pPr>
      <w:r>
        <w:t xml:space="preserve">Friedrichstraße 123, 10117 Berlin, Germany</w:t>
      </w:r>
    </w:p>
    <w:p>
      <w:pPr>
        <w:pStyle w:val="BodyText"/>
      </w:pPr>
      <w:r>
        <w:t xml:space="preserve">Phone: +49 30 12345678</w:t>
      </w:r>
    </w:p>
    <w:p>
      <w:pPr>
        <w:pStyle w:val="BodyText"/>
      </w:pPr>
      <w:r>
        <w:t xml:space="preserve">Email: billing@berlinrobotics.de</w:t>
      </w:r>
    </w:p>
    <w:p>
      <w:pPr>
        <w:pStyle w:val="BodyText"/>
      </w:pPr>
      <w:r>
        <w:t xml:space="preserve">USt-IdNr.: DE123456789</w:t>
      </w:r>
    </w:p>
    <w:p>
      <w:pPr>
        <w:pStyle w:val="BodyText"/>
      </w:pPr>
      <w:r>
        <w:t xml:space="preserve">HRB 123456 B, Amtsgericht Berlin-Charlottenburg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AutoMotive Dynamics AG</w:t>
      </w:r>
    </w:p>
    <w:p>
      <w:pPr>
        <w:pStyle w:val="BodyText"/>
      </w:pPr>
      <w:r>
        <w:t xml:space="preserve">Attention: Procurement Department</w:t>
      </w:r>
    </w:p>
    <w:p>
      <w:pPr>
        <w:pStyle w:val="BodyText"/>
      </w:pPr>
      <w:r>
        <w:t xml:space="preserve">Invalidenstraße 45, 10115 Berlin, Germany</w:t>
      </w:r>
    </w:p>
    <w:p>
      <w:pPr>
        <w:pStyle w:val="BodyText"/>
      </w:pPr>
      <w:r>
        <w:t xml:space="preserve">USt-IdNr.: DE987654321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Autonomous Assembly Line Integration</w:t>
      </w:r>
    </w:p>
    <w:p>
      <w:pPr>
        <w:pStyle w:val="BodyText"/>
      </w:pPr>
      <w:r>
        <w:rPr>
          <w:bCs/>
          <w:b/>
        </w:rPr>
        <w:t xml:space="preserve">Location:</w:t>
      </w:r>
      <w:r>
        <w:t xml:space="preserve"> </w:t>
      </w:r>
      <w:r>
        <w:t xml:space="preserve">Berlin, Germany</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the client's existing manufacturing infrastructure in Berlin. Development of a scalable robotic architecture for the new assembly line. This includes the selection of appropriate industrial manipulators, end-effectors, and safety systems compliant with German DIN EN ISO 10218 standards. Detailed documentation of the system topology and communication protocols (EtherCAT, PROFINET) was provided to ensure seamless integration with the client's central control systems.</w:t>
            </w:r>
          </w:p>
        </w:tc>
        <w:tc>
          <w:tcPr/>
          <w:p>
            <w:pPr>
              <w:pStyle w:val="Compact"/>
              <w:jc w:val="left"/>
            </w:pPr>
            <w:r>
              <w:t xml:space="preserve">40 Hrs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Custom Firmware Development &amp; Motion Control Programming</w:t>
            </w:r>
            <w:r>
              <w:br/>
            </w:r>
            <w:r>
              <w:t xml:space="preserve">Implementation of custom motion control algorithms for high-precision robotic arms. The Robotics Engineer optimized trajectory planning to reduce cycle times by 15% while maintaining strict safety margins. This service involved low-level C++ programming for real-time control loops and integration with ROS 2 (Robot Operating System) middleware. Extensive unit testing was conducted on the simulation environment before deployment to the physical hardware located at the Berlin facility.</w:t>
            </w:r>
          </w:p>
        </w:tc>
        <w:tc>
          <w:tcPr/>
          <w:p>
            <w:pPr>
              <w:pStyle w:val="Compact"/>
              <w:jc w:val="left"/>
            </w:pPr>
            <w:r>
              <w:t xml:space="preserve">60 Hrs</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On-Site Installation, Calibration &amp; Commissioning</w:t>
            </w:r>
            <w:r>
              <w:br/>
            </w:r>
            <w:r>
              <w:t xml:space="preserve">Physical deployment of robotic units at the AutoMotive Dynamics AG plant in Berlin. The Robotics Engineer performed precise calibration of sensors, vision systems, and force-torque feedback loops. This phase included rigorous safety testing in accordance with German workplace safety regulations (DGUV). The engineer coordinated with local electricians and facility managers to ensure proper power distribution and emergency stop circuit functionality.</w:t>
            </w:r>
          </w:p>
        </w:tc>
        <w:tc>
          <w:tcPr/>
          <w:p>
            <w:pPr>
              <w:pStyle w:val="Compact"/>
              <w:jc w:val="left"/>
            </w:pPr>
            <w:r>
              <w:t xml:space="preserve">20 Hrs</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Staff Training &amp; Technical Documentation Handover</w:t>
            </w:r>
            <w:r>
              <w:br/>
            </w:r>
            <w:r>
              <w:t xml:space="preserve">Conducting a specialized training workshop for the client's maintenance team in Berlin. Topics covered included basic troubleshooting, routine maintenance procedures, and safety protocols for interacting with collaborative robots (cobots). A comprehensive technical manual was delivered, detailing system configurations, API references, and maintenance schedules, ensuring long-term operational autonomy for the client.</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 (Net):</w:t>
      </w:r>
      <w:r>
        <w:t xml:space="preserve"> </w:t>
      </w:r>
      <w:r>
        <w:t xml:space="preserve">24,500.00 EUR</w:t>
      </w:r>
    </w:p>
    <w:p>
      <w:pPr>
        <w:pStyle w:val="BodyText"/>
      </w:pPr>
      <w:r>
        <w:t xml:space="preserve">VAT (19% - Germany Standard Rate):</w:t>
      </w:r>
      <w:r>
        <w:t xml:space="preserve"> </w:t>
      </w:r>
      <w:r>
        <w:t xml:space="preserve">4,655.00 EUR</w:t>
      </w:r>
    </w:p>
    <w:p>
      <w:pPr>
        <w:pStyle w:val="BodyText"/>
      </w:pPr>
      <w:r>
        <w:t xml:space="preserve">TOTAL AMOUNT DUE:</w:t>
      </w:r>
      <w:r>
        <w:t xml:space="preserve"> </w:t>
      </w:r>
      <w:r>
        <w:t xml:space="preserve">29,155.00 EUR</w:t>
      </w:r>
    </w:p>
    <w:bookmarkStart w:id="24"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29,155.00 EUR</w:t>
      </w:r>
      <w:r>
        <w:t xml:space="preserve"> </w:t>
      </w:r>
      <w:r>
        <w:t xml:space="preserve">to the following bank account within 30 days of the invoice date:</w:t>
      </w:r>
    </w:p>
    <w:p>
      <w:pPr>
        <w:pStyle w:val="BodyText"/>
      </w:pPr>
      <w:r>
        <w:rPr>
          <w:bCs/>
          <w:b/>
        </w:rPr>
        <w:t xml:space="preserve">Bank:</w:t>
      </w:r>
      <w:r>
        <w:t xml:space="preserve"> </w:t>
      </w:r>
      <w:r>
        <w:t xml:space="preserve">Deutsche Bank AG Berlin</w:t>
      </w:r>
      <w:r>
        <w:br/>
      </w:r>
      <w:r>
        <w:rPr>
          <w:bCs/>
          <w:b/>
        </w:rPr>
        <w:t xml:space="preserve">IBAN:</w:t>
      </w:r>
      <w:r>
        <w:t xml:space="preserve"> </w:t>
      </w:r>
      <w:r>
        <w:t xml:space="preserve">DE89 3704 0044 0532 0130 00</w:t>
      </w:r>
      <w:r>
        <w:br/>
      </w:r>
      <w:r>
        <w:rPr>
          <w:bCs/>
          <w:b/>
        </w:rPr>
        <w:t xml:space="preserve">BIC:</w:t>
      </w:r>
      <w:r>
        <w:t xml:space="preserve"> </w:t>
      </w:r>
      <w:r>
        <w:t xml:space="preserve">DEUTDEDBBER</w:t>
      </w:r>
      <w:r>
        <w:br/>
      </w:r>
      <w:r>
        <w:rPr>
          <w:bCs/>
          <w:b/>
        </w:rPr>
        <w:t xml:space="preserve">Reference:</w:t>
      </w:r>
      <w:r>
        <w:t xml:space="preserve"> </w:t>
      </w:r>
      <w:r>
        <w:t xml:space="preserve">INV-2023-10-042</w:t>
      </w:r>
    </w:p>
    <w:p>
      <w:pPr>
        <w:pStyle w:val="BodyText"/>
      </w:pPr>
      <w:r>
        <w:rPr>
          <w:bCs/>
          <w:b/>
        </w:rPr>
        <w:t xml:space="preserve">Legal Notice:</w:t>
      </w:r>
      <w:r>
        <w:t xml:space="preserve"> </w:t>
      </w:r>
      <w:r>
        <w:t xml:space="preserve">This invoice is issued in accordance with the German Commercial Code (HGB) and the German Value Added Tax Act (UStG). In the event of late payment, statutory interest rates apply as per § 288 BGB. The jurisdiction for any disputes arising from this contract is Berlin, Germany.</w:t>
      </w:r>
    </w:p>
    <w:p>
      <w:pPr>
        <w:pStyle w:val="BodyText"/>
      </w:pPr>
      <w:r>
        <w:rPr>
          <w:bCs/>
          <w:b/>
        </w:rPr>
        <w:t xml:space="preserve">Service Guarantee:</w:t>
      </w:r>
      <w:r>
        <w:t xml:space="preserve"> </w:t>
      </w:r>
      <w:r>
        <w:t xml:space="preserve">Berlin Robotics Solutions GmbH guarantees the quality of the Robotics Engineer's work for a period of 12 months from the date of commissioning. Any defects arising from improper programming or configuration will be rectified at no additional cost.</w:t>
      </w:r>
    </w:p>
    <w:bookmarkEnd w:id="24"/>
    <w:p>
      <w:pPr>
        <w:pStyle w:val="BodyText"/>
      </w:pPr>
      <w:r>
        <w:t xml:space="preserve">Thank you for your business. We look forward to continuing our partnership in advancing robotics technology in Berlin.</w:t>
      </w:r>
    </w:p>
    <w:p>
      <w:pPr>
        <w:pStyle w:val="BodyText"/>
      </w:pPr>
      <w:r>
        <w:t xml:space="preserve">Berlin Robotics Solutions GmbH | Managing Director: Dr. Hans Müller | VAT ID: DE123456789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Robotics Engineering Services</dc:title>
  <dc:creator/>
  <dc:language>en</dc:language>
  <cp:keywords/>
  <dcterms:created xsi:type="dcterms:W3CDTF">2026-10-10T02:39:05Z</dcterms:created>
  <dcterms:modified xsi:type="dcterms:W3CDTF">2026-10-10T02:39:05Z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