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frankfurt-robotics-solutions-gmbh"/>
    <w:p>
      <w:pPr>
        <w:pStyle w:val="Heading1"/>
      </w:pPr>
      <w:r>
        <w:t xml:space="preserve">Frankfurt Robotics Solutions GmbH</w:t>
      </w:r>
    </w:p>
    <w:p>
      <w:pPr>
        <w:pStyle w:val="FirstParagraph"/>
      </w:pPr>
      <w:r>
        <w:rPr>
          <w:bCs/>
          <w:b/>
        </w:rPr>
        <w:t xml:space="preserve">Specialized Robotics Engineering &amp; Automation</w:t>
      </w:r>
    </w:p>
    <w:p>
      <w:pPr>
        <w:pStyle w:val="BodyText"/>
      </w:pPr>
      <w:r>
        <w:t xml:space="preserve">Mainzer Landstraße 100</w:t>
      </w:r>
    </w:p>
    <w:p>
      <w:pPr>
        <w:pStyle w:val="BodyText"/>
      </w:pPr>
      <w:r>
        <w:t xml:space="preserve">60325 Frankfurt am Main, Germany</w:t>
      </w:r>
    </w:p>
    <w:p>
      <w:pPr>
        <w:pStyle w:val="BodyText"/>
      </w:pPr>
      <w:r>
        <w:t xml:space="preserve">Tax ID (Steuernummer): 123/456/78901</w:t>
      </w:r>
    </w:p>
    <w:p>
      <w:pPr>
        <w:pStyle w:val="BodyText"/>
      </w:pPr>
      <w:r>
        <w:t xml:space="preserve">VAT ID (USt-IdNr.): DE123456789</w:t>
      </w:r>
    </w:p>
    <w:p>
      <w:pPr>
        <w:pStyle w:val="BodyText"/>
      </w:pPr>
      <w:r>
        <w:t xml:space="preserve">Email: billing@frankfurtrobotics.de</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r>
        <w:br/>
      </w:r>
      <w:r>
        <w:rPr>
          <w:bCs/>
          <w:b/>
        </w:rPr>
        <w:t xml:space="preserve">Due Date:</w:t>
      </w:r>
      <w:r>
        <w:t xml:space="preserve"> </w:t>
      </w:r>
      <w:r>
        <w:t xml:space="preserve">November 24, 2023</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INV-2023-ROB-0892</w:t>
            </w:r>
          </w:p>
        </w:tc>
      </w:tr>
      <w:tr>
        <w:tc>
          <w:tcPr/>
          <w:p>
            <w:pPr>
              <w:pStyle w:val="Compact"/>
              <w:jc w:val="left"/>
            </w:pPr>
            <w:r>
              <w:t xml:space="preserve">Project Reference:</w:t>
            </w:r>
          </w:p>
        </w:tc>
        <w:tc>
          <w:tcPr/>
          <w:p>
            <w:pPr>
              <w:pStyle w:val="Compact"/>
              <w:jc w:val="left"/>
            </w:pPr>
            <w:r>
              <w:t xml:space="preserve">FR-2023-AUTO-LINE-04</w:t>
            </w:r>
          </w:p>
        </w:tc>
      </w:tr>
      <w:tr>
        <w:tc>
          <w:tcPr/>
          <w:p>
            <w:pPr>
              <w:pStyle w:val="Compact"/>
              <w:jc w:val="left"/>
            </w:pPr>
            <w:r>
              <w:t xml:space="preserve">Payment Terms:</w:t>
            </w:r>
          </w:p>
        </w:tc>
        <w:tc>
          <w:tcPr/>
          <w:p>
            <w:pPr>
              <w:pStyle w:val="Compact"/>
              <w:jc w:val="left"/>
            </w:pPr>
            <w:r>
              <w:t xml:space="preserve">Net 30 Days</w:t>
            </w:r>
          </w:p>
        </w:tc>
      </w:tr>
    </w:tbl>
    <w:bookmarkStart w:id="22" w:name="bill-to"/>
    <w:p>
      <w:pPr>
        <w:pStyle w:val="Heading3"/>
      </w:pPr>
      <w:r>
        <w:t xml:space="preserve">Bill To:</w:t>
      </w:r>
    </w:p>
    <w:p>
      <w:pPr>
        <w:pStyle w:val="FirstParagraph"/>
      </w:pPr>
      <w:r>
        <w:rPr>
          <w:bCs/>
          <w:b/>
        </w:rPr>
        <w:t xml:space="preserve">Global Automotive Manufacturing AG</w:t>
      </w:r>
    </w:p>
    <w:p>
      <w:pPr>
        <w:pStyle w:val="BodyText"/>
      </w:pPr>
      <w:r>
        <w:t xml:space="preserve">Attn: Procurement Department</w:t>
      </w:r>
    </w:p>
    <w:p>
      <w:pPr>
        <w:pStyle w:val="BodyText"/>
      </w:pPr>
      <w:r>
        <w:t xml:space="preserve">Industriepark Frankfurt, Building C</w:t>
      </w:r>
    </w:p>
    <w:p>
      <w:pPr>
        <w:pStyle w:val="BodyText"/>
      </w:pPr>
      <w:r>
        <w:t xml:space="preserve">60549 Frankfurt am Main, Germany</w:t>
      </w:r>
    </w:p>
    <w:p>
      <w:pPr>
        <w:pStyle w:val="BodyText"/>
      </w:pPr>
      <w:r>
        <w:t xml:space="preserve">VAT ID: DE987654321</w:t>
      </w:r>
    </w:p>
    <w:bookmarkEnd w:id="22"/>
    <w:p>
      <w:pPr>
        <w:pStyle w:val="BodyText"/>
      </w:pPr>
      <w:r>
        <w:t xml:space="preserve">Dear Valued Client,</w:t>
      </w:r>
    </w:p>
    <w:p>
      <w:pPr>
        <w:pStyle w:val="BodyText"/>
      </w:pPr>
      <w:r>
        <w:t xml:space="preserve">Please find attached the formal</w:t>
      </w:r>
      <w:r>
        <w:t xml:space="preserve"> </w:t>
      </w:r>
      <w:r>
        <w:rPr>
          <w:bCs/>
          <w:b/>
        </w:rPr>
        <w:t xml:space="preserve">Invoice</w:t>
      </w:r>
      <w:r>
        <w:t xml:space="preserve"> </w:t>
      </w:r>
      <w:r>
        <w:t xml:space="preserve">for the professional services rendered by our team of senior</w:t>
      </w:r>
      <w:r>
        <w:t xml:space="preserve"> </w:t>
      </w:r>
      <w:r>
        <w:rPr>
          <w:bCs/>
          <w:b/>
        </w:rPr>
        <w:t xml:space="preserve">Robotics Engineer</w:t>
      </w:r>
      <w:r>
        <w:t xml:space="preserve"> </w:t>
      </w:r>
      <w:r>
        <w:t xml:space="preserve">specialists. This document details the costs associated with the advanced automation integration project executed within your facilities in</w:t>
      </w:r>
      <w:r>
        <w:t xml:space="preserve"> </w:t>
      </w:r>
      <w:r>
        <w:rPr>
          <w:bCs/>
          <w:b/>
        </w:rPr>
        <w:t xml:space="preserve">Germany Frankfurt</w:t>
      </w:r>
      <w:r>
        <w:t xml:space="preserve">. Our team has successfully deployed high-precision robotic arms and AI-driven quality control systems, adhering to the strict industrial standards required in the German manufacturing sector.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System Architecture Design:</w:t>
            </w:r>
            <w:r>
              <w:t xml:space="preserve"> </w:t>
            </w:r>
            <w:r>
              <w:t xml:space="preserve">Comprehensive planning of the robotic cell layout by a lead</w:t>
            </w:r>
            <w:r>
              <w:t xml:space="preserve"> </w:t>
            </w:r>
            <w:r>
              <w:rPr>
                <w:bCs/>
                <w:b/>
              </w:rPr>
              <w:t xml:space="preserve">Robotics Engineer</w:t>
            </w:r>
            <w:r>
              <w:t xml:space="preserve">. Included kinematic analysis and workspace optimization for the assembly line in</w:t>
            </w:r>
            <w:r>
              <w:t xml:space="preserve"> </w:t>
            </w:r>
            <w:r>
              <w:rPr>
                <w:bCs/>
                <w:b/>
              </w:rPr>
              <w:t xml:space="preserve">Germany Frankfurt</w:t>
            </w:r>
            <w:r>
              <w:t xml:space="preserve">.</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ROS2 Middleware Integration:</w:t>
            </w:r>
            <w:r>
              <w:t xml:space="preserve"> </w:t>
            </w:r>
            <w:r>
              <w:t xml:space="preserve">Implementation of Robot Operating System (ROS2) for real-time communication between sensors and actuators. Ensured low-latency data processing suitable for high-speed manufacturing environments.</w:t>
            </w:r>
          </w:p>
        </w:tc>
        <w:tc>
          <w:tcPr/>
          <w:p>
            <w:pPr>
              <w:pStyle w:val="Compact"/>
              <w:jc w:val="left"/>
            </w:pPr>
            <w:r>
              <w:t xml:space="preserve">60</w:t>
            </w:r>
          </w:p>
        </w:tc>
        <w:tc>
          <w:tcPr/>
          <w:p>
            <w:pPr>
              <w:pStyle w:val="Compact"/>
              <w:jc w:val="left"/>
            </w:pPr>
            <w:r>
              <w:t xml:space="preserve">165.00</w:t>
            </w:r>
          </w:p>
        </w:tc>
        <w:tc>
          <w:tcPr/>
          <w:p>
            <w:pPr>
              <w:pStyle w:val="Compact"/>
              <w:jc w:val="left"/>
            </w:pPr>
            <w:r>
              <w:t xml:space="preserve">9,900.00</w:t>
            </w:r>
          </w:p>
        </w:tc>
      </w:tr>
      <w:tr>
        <w:tc>
          <w:tcPr/>
          <w:p>
            <w:pPr>
              <w:pStyle w:val="Compact"/>
              <w:jc w:val="left"/>
            </w:pPr>
            <w:r>
              <w:t xml:space="preserve">3</w:t>
            </w:r>
          </w:p>
        </w:tc>
        <w:tc>
          <w:tcPr/>
          <w:p>
            <w:pPr>
              <w:pStyle w:val="Compact"/>
              <w:jc w:val="left"/>
            </w:pPr>
            <w:r>
              <w:rPr>
                <w:bCs/>
                <w:b/>
              </w:rPr>
              <w:t xml:space="preserve">Computer Vision Calibration:</w:t>
            </w:r>
            <w:r>
              <w:t xml:space="preserve"> </w:t>
            </w:r>
            <w:r>
              <w:t xml:space="preserve">Configuration of 3D LiDAR and stereo cameras for object recognition. The</w:t>
            </w:r>
            <w:r>
              <w:t xml:space="preserve"> </w:t>
            </w:r>
            <w:r>
              <w:rPr>
                <w:bCs/>
                <w:b/>
              </w:rPr>
              <w:t xml:space="preserve">Robotics Engineer</w:t>
            </w:r>
            <w:r>
              <w:t xml:space="preserve"> </w:t>
            </w:r>
            <w:r>
              <w:t xml:space="preserve">team performed extensive calibration to ensure 99.9% accuracy in part identification.</w:t>
            </w:r>
          </w:p>
        </w:tc>
        <w:tc>
          <w:tcPr/>
          <w:p>
            <w:pPr>
              <w:pStyle w:val="Compact"/>
              <w:jc w:val="left"/>
            </w:pPr>
            <w:r>
              <w:t xml:space="preserve">30</w:t>
            </w:r>
          </w:p>
        </w:tc>
        <w:tc>
          <w:tcPr/>
          <w:p>
            <w:pPr>
              <w:pStyle w:val="Compact"/>
              <w:jc w:val="left"/>
            </w:pPr>
            <w:r>
              <w:t xml:space="preserve">175.00</w:t>
            </w:r>
          </w:p>
        </w:tc>
        <w:tc>
          <w:tcPr/>
          <w:p>
            <w:pPr>
              <w:pStyle w:val="Compact"/>
              <w:jc w:val="left"/>
            </w:pPr>
            <w:r>
              <w:t xml:space="preserve">5,250.00</w:t>
            </w:r>
          </w:p>
        </w:tc>
      </w:tr>
      <w:tr>
        <w:tc>
          <w:tcPr/>
          <w:p>
            <w:pPr>
              <w:pStyle w:val="Compact"/>
              <w:jc w:val="left"/>
            </w:pPr>
            <w:r>
              <w:t xml:space="preserve">4</w:t>
            </w:r>
          </w:p>
        </w:tc>
        <w:tc>
          <w:tcPr/>
          <w:p>
            <w:pPr>
              <w:pStyle w:val="Compact"/>
              <w:jc w:val="left"/>
            </w:pPr>
            <w:r>
              <w:rPr>
                <w:bCs/>
                <w:b/>
              </w:rPr>
              <w:t xml:space="preserve">On-Site Installation &amp; Safety Compliance:</w:t>
            </w:r>
            <w:r>
              <w:t xml:space="preserve"> </w:t>
            </w:r>
            <w:r>
              <w:t xml:space="preserve">Physical installation of robotic units and integration with existing PLC systems. Compliance with German safety regulations (DGUV) was strictly enforced during the deployment in</w:t>
            </w:r>
            <w:r>
              <w:t xml:space="preserve"> </w:t>
            </w:r>
            <w:r>
              <w:rPr>
                <w:bCs/>
                <w:b/>
              </w:rPr>
              <w:t xml:space="preserve">Germany Frankfurt</w:t>
            </w:r>
            <w:r>
              <w:t xml:space="preserve">.</w:t>
            </w:r>
          </w:p>
        </w:tc>
        <w:tc>
          <w:tcPr/>
          <w:p>
            <w:pPr>
              <w:pStyle w:val="Compact"/>
              <w:jc w:val="left"/>
            </w:pPr>
            <w:r>
              <w:t xml:space="preserve">50</w:t>
            </w:r>
          </w:p>
        </w:tc>
        <w:tc>
          <w:tcPr/>
          <w:p>
            <w:pPr>
              <w:pStyle w:val="Compact"/>
              <w:jc w:val="left"/>
            </w:pPr>
            <w:r>
              <w:t xml:space="preserve">150.00</w:t>
            </w:r>
          </w:p>
        </w:tc>
        <w:tc>
          <w:tcPr/>
          <w:p>
            <w:pPr>
              <w:pStyle w:val="Compact"/>
              <w:jc w:val="left"/>
            </w:pPr>
            <w:r>
              <w:t xml:space="preserve">7,500.00</w:t>
            </w:r>
          </w:p>
        </w:tc>
      </w:tr>
      <w:tr>
        <w:tc>
          <w:tcPr/>
          <w:p>
            <w:pPr>
              <w:pStyle w:val="Compact"/>
              <w:jc w:val="left"/>
            </w:pPr>
            <w:r>
              <w:t xml:space="preserve">5</w:t>
            </w:r>
          </w:p>
        </w:tc>
        <w:tc>
          <w:tcPr/>
          <w:p>
            <w:pPr>
              <w:pStyle w:val="Compact"/>
              <w:jc w:val="left"/>
            </w:pPr>
            <w:r>
              <w:rPr>
                <w:bCs/>
                <w:b/>
              </w:rPr>
              <w:t xml:space="preserve">Staff Training &amp; Documentation:</w:t>
            </w:r>
            <w:r>
              <w:t xml:space="preserve"> </w:t>
            </w:r>
            <w:r>
              <w:t xml:space="preserve">Training sessions for local operators on robot programming and maintenance. Delivery of technical documentation in English and German.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32,350.00 EUR</w:t>
      </w:r>
    </w:p>
    <w:p>
      <w:pPr>
        <w:pStyle w:val="BodyText"/>
      </w:pPr>
      <w:r>
        <w:t xml:space="preserve">VAT (19% - Germany Standard Rate):</w:t>
      </w:r>
      <w:r>
        <w:t xml:space="preserve"> </w:t>
      </w:r>
      <w:r>
        <w:t xml:space="preserve">6,146.50 EUR</w:t>
      </w:r>
    </w:p>
    <w:p>
      <w:pPr>
        <w:pStyle w:val="BodyText"/>
      </w:pPr>
      <w:r>
        <w:t xml:space="preserve">Total Amount Due:</w:t>
      </w:r>
      <w:r>
        <w:t xml:space="preserve"> </w:t>
      </w:r>
      <w:r>
        <w:t xml:space="preserve">38,496.50 EUR</w:t>
      </w:r>
    </w:p>
    <w:bookmarkStart w:id="23" w:name="payment-instructions"/>
    <w:p>
      <w:pPr>
        <w:pStyle w:val="Heading4"/>
      </w:pPr>
      <w:r>
        <w:t xml:space="preserve">Payment Instructions</w:t>
      </w:r>
    </w:p>
    <w:p>
      <w:pPr>
        <w:pStyle w:val="FirstParagraph"/>
      </w:pPr>
      <w:r>
        <w:t xml:space="preserve">Please transfer the total amount to the following bank account within 30 days of the invoice date:</w:t>
      </w:r>
    </w:p>
    <w:p>
      <w:pPr>
        <w:pStyle w:val="BodyText"/>
      </w:pPr>
      <w:r>
        <w:rPr>
          <w:bCs/>
          <w:b/>
        </w:rPr>
        <w:t xml:space="preserve">Bank Name:</w:t>
      </w:r>
      <w:r>
        <w:t xml:space="preserve"> </w:t>
      </w:r>
      <w:r>
        <w:t xml:space="preserve">Commerzbank AG</w:t>
      </w:r>
      <w:r>
        <w:br/>
      </w:r>
      <w:r>
        <w:rPr>
          <w:bCs/>
          <w:b/>
        </w:rPr>
        <w:t xml:space="preserve">Account Holder:</w:t>
      </w:r>
      <w:r>
        <w:t xml:space="preserve"> </w:t>
      </w:r>
      <w:r>
        <w:t xml:space="preserve">Frankfurt Robotics Solutions GmbH</w:t>
      </w:r>
      <w:r>
        <w:br/>
      </w:r>
      <w:r>
        <w:rPr>
          <w:bCs/>
          <w:b/>
        </w:rPr>
        <w:t xml:space="preserve">IBAN:</w:t>
      </w:r>
      <w:r>
        <w:t xml:space="preserve"> </w:t>
      </w:r>
      <w:r>
        <w:t xml:space="preserve">DE89 3704 0044 0532 0130 00</w:t>
      </w:r>
      <w:r>
        <w:br/>
      </w:r>
      <w:r>
        <w:rPr>
          <w:bCs/>
          <w:b/>
        </w:rPr>
        <w:t xml:space="preserve">BIC:</w:t>
      </w:r>
      <w:r>
        <w:t xml:space="preserve"> </w:t>
      </w:r>
      <w:r>
        <w:t xml:space="preserve">COBADEFFXXX</w:t>
      </w:r>
      <w:r>
        <w:br/>
      </w:r>
      <w:r>
        <w:rPr>
          <w:bCs/>
          <w:b/>
        </w:rPr>
        <w:t xml:space="preserve">Reference:</w:t>
      </w:r>
      <w:r>
        <w:t xml:space="preserve"> </w:t>
      </w:r>
      <w:r>
        <w:t xml:space="preserve">INV-2023-ROB-0892</w:t>
      </w:r>
    </w:p>
    <w:bookmarkEnd w:id="23"/>
    <w:bookmarkStart w:id="24" w:name="terms-conditions-and-technical-notes"/>
    <w:p>
      <w:pPr>
        <w:pStyle w:val="Heading4"/>
      </w:pPr>
      <w:r>
        <w:t xml:space="preserve">Terms, Conditions, and Technical Notes</w:t>
      </w:r>
    </w:p>
    <w:p>
      <w:pPr>
        <w:pStyle w:val="FirstParagraph"/>
      </w:pPr>
      <w:r>
        <w:rPr>
          <w:bCs/>
          <w:b/>
        </w:rPr>
        <w:t xml:space="preserve">1. Scope of Work:</w:t>
      </w:r>
      <w:r>
        <w:t xml:space="preserve"> </w:t>
      </w:r>
      <w:r>
        <w:t xml:space="preserve">This</w:t>
      </w:r>
      <w:r>
        <w:t xml:space="preserve"> </w:t>
      </w:r>
      <w:r>
        <w:rPr>
          <w:bCs/>
          <w:b/>
        </w:rPr>
        <w:t xml:space="preserve">Invoice</w:t>
      </w:r>
      <w:r>
        <w:t xml:space="preserve"> </w:t>
      </w:r>
      <w:r>
        <w:t xml:space="preserve">covers all labor, engineering hours, and technical consulting provided by our certified</w:t>
      </w:r>
      <w:r>
        <w:t xml:space="preserve"> </w:t>
      </w:r>
      <w:r>
        <w:rPr>
          <w:bCs/>
          <w:b/>
        </w:rPr>
        <w:t xml:space="preserve">Robotics Engineer</w:t>
      </w:r>
      <w:r>
        <w:t xml:space="preserve"> </w:t>
      </w:r>
      <w:r>
        <w:t xml:space="preserve">personnel. It includes the design, programming, and commissioning of the automated assembly cell located at your facility in</w:t>
      </w:r>
      <w:r>
        <w:t xml:space="preserve"> </w:t>
      </w:r>
      <w:r>
        <w:rPr>
          <w:bCs/>
          <w:b/>
        </w:rPr>
        <w:t xml:space="preserve">Germany Frankfurt</w:t>
      </w:r>
      <w:r>
        <w:t xml:space="preserve">.</w:t>
      </w:r>
    </w:p>
    <w:p>
      <w:pPr>
        <w:pStyle w:val="BodyText"/>
      </w:pPr>
      <w:r>
        <w:rPr>
          <w:bCs/>
          <w:b/>
        </w:rPr>
        <w:t xml:space="preserve">2. Technical Specifications:</w:t>
      </w:r>
      <w:r>
        <w:t xml:space="preserve"> </w:t>
      </w:r>
      <w:r>
        <w:t xml:space="preserve">The robotic systems installed utilize state-of-the-art inverse kinematics solvers and collision avoidance algorithms. The</w:t>
      </w:r>
      <w:r>
        <w:t xml:space="preserve"> </w:t>
      </w:r>
      <w:r>
        <w:rPr>
          <w:bCs/>
          <w:b/>
        </w:rPr>
        <w:t xml:space="preserve">Robotics Engineer</w:t>
      </w:r>
      <w:r>
        <w:t xml:space="preserve"> </w:t>
      </w:r>
      <w:r>
        <w:t xml:space="preserve">team has ensured that the cycle times meet the agreed-upon efficiency metrics. All code is documented and handed over via the secure repository provided.</w:t>
      </w:r>
    </w:p>
    <w:p>
      <w:pPr>
        <w:pStyle w:val="BodyText"/>
      </w:pPr>
      <w:r>
        <w:rPr>
          <w:bCs/>
          <w:b/>
        </w:rPr>
        <w:t xml:space="preserve">3. Regulatory Compliance:</w:t>
      </w:r>
      <w:r>
        <w:t xml:space="preserve"> </w:t>
      </w:r>
      <w:r>
        <w:t xml:space="preserve">All engineering work complies with the Machinery Directive (2006/42/EC) and relevant German industrial safety standards (DIN EN ISO 10218). The installation in</w:t>
      </w:r>
      <w:r>
        <w:t xml:space="preserve"> </w:t>
      </w:r>
      <w:r>
        <w:rPr>
          <w:bCs/>
          <w:b/>
        </w:rPr>
        <w:t xml:space="preserve">Germany Frankfurt</w:t>
      </w:r>
      <w:r>
        <w:t xml:space="preserve"> </w:t>
      </w:r>
      <w:r>
        <w:t xml:space="preserve">has been inspected and cleared for operation.</w:t>
      </w:r>
    </w:p>
    <w:p>
      <w:pPr>
        <w:pStyle w:val="BodyText"/>
      </w:pPr>
      <w:r>
        <w:rPr>
          <w:bCs/>
          <w:b/>
        </w:rPr>
        <w:t xml:space="preserve">4. Payment Terms:</w:t>
      </w:r>
      <w:r>
        <w:t xml:space="preserve"> </w:t>
      </w:r>
      <w:r>
        <w:t xml:space="preserve">Payment is due within 30 days of the invoice date. Late payments may incur interest charges in accordance with German law (§ 288 BGB). Please include the invoice number as the payment reference to ensure proper allocation.</w:t>
      </w:r>
    </w:p>
    <w:p>
      <w:pPr>
        <w:pStyle w:val="BodyText"/>
      </w:pPr>
      <w:r>
        <w:rPr>
          <w:bCs/>
          <w:b/>
        </w:rPr>
        <w:t xml:space="preserve">5. Warranty:</w:t>
      </w:r>
      <w:r>
        <w:t xml:space="preserve"> </w:t>
      </w:r>
      <w:r>
        <w:t xml:space="preserve">A 12-month warranty on engineering services is included. This covers software bugs and integration issues arising from the work performed by the</w:t>
      </w:r>
      <w:r>
        <w:t xml:space="preserve"> </w:t>
      </w:r>
      <w:r>
        <w:rPr>
          <w:bCs/>
          <w:b/>
        </w:rPr>
        <w:t xml:space="preserve">Robotics Engineer</w:t>
      </w:r>
      <w:r>
        <w:t xml:space="preserve"> </w:t>
      </w:r>
      <w:r>
        <w:t xml:space="preserve">team. Hardware warranties are provided directly by the respective manufacturers.</w:t>
      </w:r>
    </w:p>
    <w:p>
      <w:pPr>
        <w:pStyle w:val="BodyText"/>
      </w:pPr>
      <w:r>
        <w:rPr>
          <w:bCs/>
          <w:b/>
        </w:rPr>
        <w:t xml:space="preserve">6. Contact:</w:t>
      </w:r>
      <w:r>
        <w:t xml:space="preserve"> </w:t>
      </w:r>
      <w:r>
        <w:t xml:space="preserve">For any questions regarding this</w:t>
      </w:r>
      <w:r>
        <w:t xml:space="preserve"> </w:t>
      </w:r>
      <w:r>
        <w:rPr>
          <w:bCs/>
          <w:b/>
        </w:rPr>
        <w:t xml:space="preserve">Invoice</w:t>
      </w:r>
      <w:r>
        <w:t xml:space="preserve"> </w:t>
      </w:r>
      <w:r>
        <w:t xml:space="preserve">or the technical implementation of the robotics solution in</w:t>
      </w:r>
      <w:r>
        <w:t xml:space="preserve"> </w:t>
      </w:r>
      <w:r>
        <w:rPr>
          <w:bCs/>
          <w:b/>
        </w:rPr>
        <w:t xml:space="preserve">Germany Frankfurt</w:t>
      </w:r>
      <w:r>
        <w:t xml:space="preserve">, please contact our finance department at billing@frankfurtrobotics.de or our technical lead at support@frankfurtrobotics.de.</w:t>
      </w:r>
    </w:p>
    <w:bookmarkEnd w:id="24"/>
    <w:p>
      <w:pPr>
        <w:pStyle w:val="BodyText"/>
      </w:pPr>
      <w:r>
        <w:t xml:space="preserve">Frankfurt Robotics Solutions GmbH | Mainzer Landstraße 100, 60325 Frankfurt am Main, Germany</w:t>
      </w:r>
    </w:p>
    <w:p>
      <w:pPr>
        <w:pStyle w:val="BodyText"/>
      </w:pPr>
      <w:r>
        <w:t xml:space="preserve">Registered in the Commercial Register of Frankfurt am Main (HRB 123456)</w:t>
      </w:r>
    </w:p>
    <w:p>
      <w:pPr>
        <w:pStyle w:val="BodyText"/>
      </w:pPr>
      <w:r>
        <w:t xml:space="preserve">Managing Director: Dr. Hans Müller</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2026-10-10T02:45:42Z</dcterms:created>
  <dcterms:modified xsi:type="dcterms:W3CDTF">2026-10-10T02:45:42Z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