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Robotics</w:t>
      </w:r>
      <w:r>
        <w:t xml:space="preserve"> </w:t>
      </w:r>
      <w:r>
        <w:t xml:space="preserve">Engineering</w:t>
      </w:r>
      <w:r>
        <w:t xml:space="preserve"> </w:t>
      </w:r>
      <w:r>
        <w:t xml:space="preserve">Services</w:t>
      </w:r>
    </w:p>
    <w:bookmarkStart w:id="20" w:name="persian-robotics-solutions"/>
    <w:p>
      <w:pPr>
        <w:pStyle w:val="Heading1"/>
      </w:pPr>
      <w:r>
        <w:t xml:space="preserve">Persian Robotics Solutions</w:t>
      </w:r>
    </w:p>
    <w:p>
      <w:pPr>
        <w:pStyle w:val="FirstParagraph"/>
      </w:pPr>
      <w:r>
        <w:t xml:space="preserve">No. 45, Valiasr Street, District 1</w:t>
      </w:r>
    </w:p>
    <w:p>
      <w:pPr>
        <w:pStyle w:val="BodyText"/>
      </w:pPr>
      <w:r>
        <w:t xml:space="preserve">Tehran, Iran</w:t>
      </w:r>
    </w:p>
    <w:p>
      <w:pPr>
        <w:pStyle w:val="BodyText"/>
      </w:pPr>
      <w:r>
        <w:t xml:space="preserve">Tel: +98 21 8888 9999</w:t>
      </w:r>
    </w:p>
    <w:p>
      <w:pPr>
        <w:pStyle w:val="BodyText"/>
      </w:pPr>
      <w:r>
        <w:t xml:space="preserve">Email: billing@persianrobotics.ir</w:t>
      </w:r>
    </w:p>
    <w:p>
      <w:pPr>
        <w:pStyle w:val="BodyText"/>
      </w:pPr>
      <w:r>
        <w:t xml:space="preserve">National ID: 10101234567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INV-TR-2023-089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Location:</w:t>
      </w:r>
      <w:r>
        <w:t xml:space="preserve"> </w:t>
      </w:r>
      <w:r>
        <w:t xml:space="preserve">Tehran, Iran</w:t>
      </w:r>
    </w:p>
    <w:bookmarkEnd w:id="21"/>
    <w:bookmarkStart w:id="22" w:name="bill-to"/>
    <w:p>
      <w:pPr>
        <w:pStyle w:val="Heading3"/>
      </w:pPr>
      <w:r>
        <w:t xml:space="preserve">Bill To:</w:t>
      </w:r>
    </w:p>
    <w:p>
      <w:pPr>
        <w:pStyle w:val="FirstParagraph"/>
      </w:pPr>
      <w:r>
        <w:rPr>
          <w:bCs/>
          <w:b/>
        </w:rPr>
        <w:t xml:space="preserve">Advanced Manufacturing Industries Co.</w:t>
      </w:r>
    </w:p>
    <w:p>
      <w:pPr>
        <w:pStyle w:val="BodyText"/>
      </w:pPr>
      <w:r>
        <w:t xml:space="preserve">Industrial Zone 4, Karaj Road</w:t>
      </w:r>
    </w:p>
    <w:p>
      <w:pPr>
        <w:pStyle w:val="BodyText"/>
      </w:pPr>
      <w:r>
        <w:t xml:space="preserve">Tehran Province, Iran</w:t>
      </w:r>
    </w:p>
    <w:p>
      <w:pPr>
        <w:pStyle w:val="BodyText"/>
      </w:pPr>
      <w:r>
        <w:t xml:space="preserve">Contact Person: Mr. Ali Rezaei</w:t>
      </w:r>
    </w:p>
    <w:p>
      <w:pPr>
        <w:pStyle w:val="BodyText"/>
      </w:pPr>
      <w:r>
        <w:t xml:space="preserve">Email: procurement@ami-co.ir</w:t>
      </w:r>
    </w:p>
    <w:bookmarkEnd w:id="22"/>
    <w:bookmarkStart w:id="23" w:name="project-reference"/>
    <w:p>
      <w:pPr>
        <w:pStyle w:val="Heading3"/>
      </w:pPr>
      <w:r>
        <w:t xml:space="preserve">Project Reference:</w:t>
      </w:r>
    </w:p>
    <w:p>
      <w:pPr>
        <w:pStyle w:val="FirstParagraph"/>
      </w:pPr>
      <w:r>
        <w:rPr>
          <w:bCs/>
          <w:b/>
        </w:rPr>
        <w:t xml:space="preserve">Subject:</w:t>
      </w:r>
      <w:r>
        <w:t xml:space="preserve"> </w:t>
      </w:r>
      <w:r>
        <w:t xml:space="preserve">Robotics Engineer Consultation &amp; Automation</w:t>
      </w:r>
    </w:p>
    <w:p>
      <w:pPr>
        <w:pStyle w:val="BodyText"/>
      </w:pPr>
      <w:r>
        <w:rPr>
          <w:bCs/>
          <w:b/>
        </w:rPr>
        <w:t xml:space="preserve">Contract ID:</w:t>
      </w:r>
      <w:r>
        <w:t xml:space="preserve"> </w:t>
      </w:r>
      <w:r>
        <w:t xml:space="preserve">RC-TEH-442</w:t>
      </w:r>
    </w:p>
    <w:p>
      <w:pPr>
        <w:pStyle w:val="BodyText"/>
      </w:pPr>
      <w:r>
        <w:rPr>
          <w:bCs/>
          <w:b/>
        </w:rPr>
        <w:t xml:space="preserve">Scope:</w:t>
      </w:r>
      <w:r>
        <w:t xml:space="preserve"> </w:t>
      </w:r>
      <w:r>
        <w:t xml:space="preserve">Design, implementation, and optimization of industrial robotic arms for assembly lines located in the Tehran metropolitan area.</w:t>
      </w:r>
    </w:p>
    <w:bookmarkEnd w:id="23"/>
    <w:bookmarkStart w:id="24" w:name="service-overview"/>
    <w:p>
      <w:pPr>
        <w:pStyle w:val="Heading3"/>
      </w:pPr>
      <w:r>
        <w:t xml:space="preserve">Service Overview</w:t>
      </w:r>
    </w:p>
    <w:p>
      <w:pPr>
        <w:pStyle w:val="FirstParagraph"/>
      </w:pPr>
      <w:r>
        <w:t xml:space="preserve">This Invoice represents the professional fees for specialized Robotics Engineer services rendered by Persian Robotics Solutions. The scope of work was executed strictly within the industrial framework of Iran, specifically tailored to the manufacturing requirements in Tehran. The services encompassed the full lifecycle of robotic integration, from initial kinematic analysis and simulation to on-site deployment and calibration.</w:t>
      </w:r>
    </w:p>
    <w:p>
      <w:pPr>
        <w:pStyle w:val="BodyText"/>
      </w:pPr>
      <w:r>
        <w:t xml:space="preserve">As a Robotics Engineer operating in the dynamic technological landscape of Iran Tehran, the primary objective was to enhance production efficiency while adhering to local safety standards and international engineering protocols. The project involved the integration of six-axis articulated robots into the client's existing assembly infrastructure. This required extensive site surveys conducted in Tehran, precise programming using advanced control algorithms, and the development of custom end-effectors to handle specific components.</w:t>
      </w:r>
    </w:p>
    <w:p>
      <w:pPr>
        <w:pStyle w:val="BodyText"/>
      </w:pPr>
      <w:r>
        <w:t xml:space="preserve">The complexity of the task demanded a high level of expertise in mechatronics, computer vision, and real-time control systems. The Robotics Engineer ensured that the automated systems were fully synchronized with the client's Manufacturing Execution System (MES). Furthermore, comprehensive training sessions were provided to the client's technical staff in Tehran, ensuring sustainable operation and maintenance of the robotic cells. This Invoice covers all labor, engineering hours, software licensing, and technical support associated with this critical automation upgrade.</w:t>
      </w:r>
    </w:p>
    <w:bookmarkEnd w:id="24"/>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rPr>
                <w:bCs/>
                <w:b/>
              </w:rPr>
              <w:t xml:space="preserve">Site Analysis &amp; Feasibility Study</w:t>
            </w:r>
            <w:r>
              <w:br/>
            </w:r>
            <w:r>
              <w:t xml:space="preserve">On-site assessment of factory floor in Tehran, load analysis, and workspace layout optimization for robotic integration.</w:t>
            </w:r>
          </w:p>
        </w:tc>
        <w:tc>
          <w:tcPr/>
          <w:p>
            <w:pPr>
              <w:pStyle w:val="Compact"/>
              <w:jc w:val="left"/>
            </w:pPr>
            <w:r>
              <w:t xml:space="preserve">40 Hours</w:t>
            </w:r>
          </w:p>
        </w:tc>
        <w:tc>
          <w:tcPr/>
          <w:p>
            <w:pPr>
              <w:pStyle w:val="Compact"/>
              <w:jc w:val="left"/>
            </w:pPr>
            <w:r>
              <w:t xml:space="preserve">2,500,000</w:t>
            </w:r>
          </w:p>
        </w:tc>
        <w:tc>
          <w:tcPr/>
          <w:p>
            <w:pPr>
              <w:pStyle w:val="Compact"/>
              <w:jc w:val="left"/>
            </w:pPr>
            <w:r>
              <w:t xml:space="preserve">100,000,000</w:t>
            </w:r>
          </w:p>
        </w:tc>
      </w:tr>
      <w:tr>
        <w:tc>
          <w:tcPr/>
          <w:p>
            <w:pPr>
              <w:pStyle w:val="Compact"/>
              <w:jc w:val="left"/>
            </w:pPr>
            <w:r>
              <w:rPr>
                <w:bCs/>
                <w:b/>
              </w:rPr>
              <w:t xml:space="preserve">Robotics System Design &amp; Simulation</w:t>
            </w:r>
            <w:r>
              <w:br/>
            </w:r>
            <w:r>
              <w:t xml:space="preserve">3D modeling, collision detection, and cycle time simulation using industrial software to validate the Robotics Engineer's design.</w:t>
            </w:r>
          </w:p>
        </w:tc>
        <w:tc>
          <w:tcPr/>
          <w:p>
            <w:pPr>
              <w:pStyle w:val="Compact"/>
              <w:jc w:val="left"/>
            </w:pPr>
            <w:r>
              <w:t xml:space="preserve">60 Hours</w:t>
            </w:r>
          </w:p>
        </w:tc>
        <w:tc>
          <w:tcPr/>
          <w:p>
            <w:pPr>
              <w:pStyle w:val="Compact"/>
              <w:jc w:val="left"/>
            </w:pPr>
            <w:r>
              <w:t xml:space="preserve">3,000,000</w:t>
            </w:r>
          </w:p>
        </w:tc>
        <w:tc>
          <w:tcPr/>
          <w:p>
            <w:pPr>
              <w:pStyle w:val="Compact"/>
              <w:jc w:val="left"/>
            </w:pPr>
            <w:r>
              <w:t xml:space="preserve">180,000,000</w:t>
            </w:r>
          </w:p>
        </w:tc>
      </w:tr>
      <w:tr>
        <w:tc>
          <w:tcPr/>
          <w:p>
            <w:pPr>
              <w:pStyle w:val="Compact"/>
              <w:jc w:val="left"/>
            </w:pPr>
            <w:r>
              <w:rPr>
                <w:bCs/>
                <w:b/>
              </w:rPr>
              <w:t xml:space="preserve">Programming &amp; Integration</w:t>
            </w:r>
            <w:r>
              <w:br/>
            </w:r>
            <w:r>
              <w:t xml:space="preserve">Low-level controller programming, PLC interfacing, and sensor integration for automated assembly tasks.</w:t>
            </w:r>
          </w:p>
        </w:tc>
        <w:tc>
          <w:tcPr/>
          <w:p>
            <w:pPr>
              <w:pStyle w:val="Compact"/>
              <w:jc w:val="left"/>
            </w:pPr>
            <w:r>
              <w:t xml:space="preserve">120 Hours</w:t>
            </w:r>
          </w:p>
        </w:tc>
        <w:tc>
          <w:tcPr/>
          <w:p>
            <w:pPr>
              <w:pStyle w:val="Compact"/>
              <w:jc w:val="left"/>
            </w:pPr>
            <w:r>
              <w:t xml:space="preserve">3,500,000</w:t>
            </w:r>
          </w:p>
        </w:tc>
        <w:tc>
          <w:tcPr/>
          <w:p>
            <w:pPr>
              <w:pStyle w:val="Compact"/>
              <w:jc w:val="left"/>
            </w:pPr>
            <w:r>
              <w:t xml:space="preserve">420,000,000</w:t>
            </w:r>
          </w:p>
        </w:tc>
      </w:tr>
      <w:tr>
        <w:tc>
          <w:tcPr/>
          <w:p>
            <w:pPr>
              <w:pStyle w:val="Compact"/>
              <w:jc w:val="left"/>
            </w:pPr>
            <w:r>
              <w:rPr>
                <w:bCs/>
                <w:b/>
              </w:rPr>
              <w:t xml:space="preserve">On-Site Installation &amp; Calibration</w:t>
            </w:r>
            <w:r>
              <w:br/>
            </w:r>
            <w:r>
              <w:t xml:space="preserve">Physical setup of robotic arms in Tehran facility, precision calibration, and safety system verification.</w:t>
            </w:r>
          </w:p>
        </w:tc>
        <w:tc>
          <w:tcPr/>
          <w:p>
            <w:pPr>
              <w:pStyle w:val="Compact"/>
              <w:jc w:val="left"/>
            </w:pPr>
            <w:r>
              <w:t xml:space="preserve">80 Hours</w:t>
            </w:r>
          </w:p>
        </w:tc>
        <w:tc>
          <w:tcPr/>
          <w:p>
            <w:pPr>
              <w:pStyle w:val="Compact"/>
              <w:jc w:val="left"/>
            </w:pPr>
            <w:r>
              <w:t xml:space="preserve">2,800,000</w:t>
            </w:r>
          </w:p>
        </w:tc>
        <w:tc>
          <w:tcPr/>
          <w:p>
            <w:pPr>
              <w:pStyle w:val="Compact"/>
              <w:jc w:val="left"/>
            </w:pPr>
            <w:r>
              <w:t xml:space="preserve">224,000,000</w:t>
            </w:r>
          </w:p>
        </w:tc>
      </w:tr>
      <w:tr>
        <w:tc>
          <w:tcPr/>
          <w:p>
            <w:pPr>
              <w:pStyle w:val="Compact"/>
              <w:jc w:val="left"/>
            </w:pPr>
            <w:r>
              <w:rPr>
                <w:bCs/>
                <w:b/>
              </w:rPr>
              <w:t xml:space="preserve">Staff Training &amp; Documentation</w:t>
            </w:r>
            <w:r>
              <w:br/>
            </w:r>
            <w:r>
              <w:t xml:space="preserve">Training local operators and engineers in Tehran on system operation, troubleshooting, and maintenance protocols.</w:t>
            </w:r>
          </w:p>
        </w:tc>
        <w:tc>
          <w:tcPr/>
          <w:p>
            <w:pPr>
              <w:pStyle w:val="Compact"/>
              <w:jc w:val="left"/>
            </w:pPr>
            <w:r>
              <w:t xml:space="preserve">20 Hours</w:t>
            </w:r>
          </w:p>
        </w:tc>
        <w:tc>
          <w:tcPr/>
          <w:p>
            <w:pPr>
              <w:pStyle w:val="Compact"/>
              <w:jc w:val="left"/>
            </w:pPr>
            <w:r>
              <w:t xml:space="preserve">2,000,000</w:t>
            </w:r>
          </w:p>
        </w:tc>
        <w:tc>
          <w:tcPr/>
          <w:p>
            <w:pPr>
              <w:pStyle w:val="Compact"/>
              <w:jc w:val="left"/>
            </w:pPr>
            <w:r>
              <w:t xml:space="preserve">40,000,000</w:t>
            </w:r>
          </w:p>
        </w:tc>
      </w:tr>
    </w:tbl>
    <w:p>
      <w:pPr>
        <w:pStyle w:val="BodyText"/>
      </w:pPr>
      <w:r>
        <w:t xml:space="preserve">Subtotal:</w:t>
      </w:r>
      <w:r>
        <w:t xml:space="preserve"> </w:t>
      </w:r>
      <w:r>
        <w:t xml:space="preserve">964,000,000 IRR</w:t>
      </w:r>
    </w:p>
    <w:p>
      <w:pPr>
        <w:pStyle w:val="BodyText"/>
      </w:pPr>
      <w:r>
        <w:t xml:space="preserve">Value Added Tax (9%):</w:t>
      </w:r>
      <w:r>
        <w:t xml:space="preserve"> </w:t>
      </w:r>
      <w:r>
        <w:t xml:space="preserve">86,760,000 IRR</w:t>
      </w:r>
    </w:p>
    <w:p>
      <w:pPr>
        <w:pStyle w:val="BodyText"/>
      </w:pPr>
      <w:r>
        <w:t xml:space="preserve">Total Amount Due:</w:t>
      </w:r>
      <w:r>
        <w:t xml:space="preserve"> </w:t>
      </w:r>
      <w:r>
        <w:t xml:space="preserve">1,050,760,000 IRR</w:t>
      </w:r>
    </w:p>
    <w:bookmarkStart w:id="25" w:name="payment-instructions"/>
    <w:p>
      <w:pPr>
        <w:pStyle w:val="Heading3"/>
      </w:pPr>
      <w:r>
        <w:t xml:space="preserve">Payment Instructions</w:t>
      </w:r>
    </w:p>
    <w:p>
      <w:pPr>
        <w:pStyle w:val="FirstParagraph"/>
      </w:pPr>
      <w:r>
        <w:t xml:space="preserve">Please remit payment within 30 days of the invoice date. Payments should be made in Iranian Rial (IRR) via bank transfer to the following account:</w:t>
      </w:r>
    </w:p>
    <w:p>
      <w:pPr>
        <w:numPr>
          <w:ilvl w:val="0"/>
          <w:numId w:val="1001"/>
        </w:numPr>
        <w:pStyle w:val="Compact"/>
      </w:pPr>
      <w:r>
        <w:rPr>
          <w:bCs/>
          <w:b/>
        </w:rPr>
        <w:t xml:space="preserve">Bank Name:</w:t>
      </w:r>
      <w:r>
        <w:t xml:space="preserve"> </w:t>
      </w:r>
      <w:r>
        <w:t xml:space="preserve">Bank Melli Iran</w:t>
      </w:r>
    </w:p>
    <w:p>
      <w:pPr>
        <w:numPr>
          <w:ilvl w:val="0"/>
          <w:numId w:val="1001"/>
        </w:numPr>
        <w:pStyle w:val="Compact"/>
      </w:pPr>
      <w:r>
        <w:rPr>
          <w:bCs/>
          <w:b/>
        </w:rPr>
        <w:t xml:space="preserve">Branch:</w:t>
      </w:r>
      <w:r>
        <w:t xml:space="preserve"> </w:t>
      </w:r>
      <w:r>
        <w:t xml:space="preserve">Valiasr Branch, Tehran</w:t>
      </w:r>
    </w:p>
    <w:p>
      <w:pPr>
        <w:numPr>
          <w:ilvl w:val="0"/>
          <w:numId w:val="1001"/>
        </w:numPr>
        <w:pStyle w:val="Compact"/>
      </w:pPr>
      <w:r>
        <w:rPr>
          <w:bCs/>
          <w:b/>
        </w:rPr>
        <w:t xml:space="preserve">Account Title:</w:t>
      </w:r>
      <w:r>
        <w:t xml:space="preserve"> </w:t>
      </w:r>
      <w:r>
        <w:t xml:space="preserve">Persian Robotics Solutions Co.</w:t>
      </w:r>
    </w:p>
    <w:p>
      <w:pPr>
        <w:numPr>
          <w:ilvl w:val="0"/>
          <w:numId w:val="1001"/>
        </w:numPr>
        <w:pStyle w:val="Compact"/>
      </w:pPr>
      <w:r>
        <w:rPr>
          <w:bCs/>
          <w:b/>
        </w:rPr>
        <w:t xml:space="preserve">IBAN:</w:t>
      </w:r>
      <w:r>
        <w:t xml:space="preserve"> </w:t>
      </w:r>
      <w:r>
        <w:t xml:space="preserve">IR00 0500 0000 0000 1234 5678 90</w:t>
      </w:r>
    </w:p>
    <w:p>
      <w:pPr>
        <w:numPr>
          <w:ilvl w:val="0"/>
          <w:numId w:val="1001"/>
        </w:numPr>
        <w:pStyle w:val="Compact"/>
      </w:pPr>
      <w:r>
        <w:rPr>
          <w:bCs/>
          <w:b/>
        </w:rPr>
        <w:t xml:space="preserve">Reference:</w:t>
      </w:r>
      <w:r>
        <w:t xml:space="preserve"> </w:t>
      </w:r>
      <w:r>
        <w:t xml:space="preserve">INV-TR-2023-089</w:t>
      </w:r>
    </w:p>
    <w:bookmarkEnd w:id="25"/>
    <w:bookmarkStart w:id="26" w:name="terms-and-conditions"/>
    <w:p>
      <w:pPr>
        <w:pStyle w:val="Heading4"/>
      </w:pPr>
      <w:r>
        <w:t xml:space="preserve">Terms and Conditions</w:t>
      </w:r>
    </w:p>
    <w:p>
      <w:pPr>
        <w:pStyle w:val="FirstParagraph"/>
      </w:pPr>
      <w:r>
        <w:t xml:space="preserve">1. This Invoice is issued in accordance with the commercial laws of the Islamic Republic of Iran.</w:t>
      </w:r>
      <w:r>
        <w:br/>
      </w:r>
      <w:r>
        <w:t xml:space="preserve">2. Late payments may incur a penalty fee of 1.5% per month on the outstanding balance.</w:t>
      </w:r>
      <w:r>
        <w:br/>
      </w:r>
      <w:r>
        <w:t xml:space="preserve">3. All intellectual property rights regarding custom code and designs remain with Persian Robotics Solutions until full payment is received.</w:t>
      </w:r>
      <w:r>
        <w:br/>
      </w:r>
      <w:r>
        <w:t xml:space="preserve">4. The Robotics Engineer services are guaranteed for a period of 12 months from the date of final acceptance in Tehran.</w:t>
      </w:r>
      <w:r>
        <w:br/>
      </w:r>
      <w:r>
        <w:t xml:space="preserve">5. Any disputes arising from this Invoice shall be subject to the jurisdiction of the courts of Tehran.</w:t>
      </w:r>
    </w:p>
    <w:bookmarkEnd w:id="26"/>
    <w:p>
      <w:pPr>
        <w:pStyle w:val="BodyText"/>
      </w:pPr>
      <w:r>
        <w:t xml:space="preserve">Thank you for your business. We look forward to continuing our partnership in advancing robotics technology in Iran.</w:t>
      </w:r>
    </w:p>
    <w:p>
      <w:pPr>
        <w:pStyle w:val="BodyText"/>
      </w:pPr>
      <w:r>
        <w:t xml:space="preserve">Persian Robotics Solutions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Robotics Engineering Services</dc:title>
  <dc:creator/>
  <dc:language>en</dc:language>
  <cp:keywords/>
  <dcterms:created xsi:type="dcterms:W3CDTF">2026-10-10T05:39:17Z</dcterms:created>
  <dcterms:modified xsi:type="dcterms:W3CDTF">2026-10-10T05:39:17Z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