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sdn-bhd"/>
    <w:p>
      <w:pPr>
        <w:pStyle w:val="Heading1"/>
      </w:pPr>
      <w:r>
        <w:t xml:space="preserve">Advanced Robotics Solutions Sdn Bhd</w:t>
      </w:r>
    </w:p>
    <w:p>
      <w:pPr>
        <w:pStyle w:val="FirstParagraph"/>
      </w:pPr>
      <w:r>
        <w:t xml:space="preserve">Lot 12, Jalan Teknologi 3/5, Taman Sains Selangor</w:t>
      </w:r>
    </w:p>
    <w:p>
      <w:pPr>
        <w:pStyle w:val="BodyText"/>
      </w:pPr>
      <w:r>
        <w:t xml:space="preserve">40000 Shah Alam, Selangor,</w:t>
      </w:r>
      <w:r>
        <w:t xml:space="preserve"> </w:t>
      </w:r>
      <w:r>
        <w:rPr>
          <w:bCs/>
          <w:b/>
        </w:rPr>
        <w:t xml:space="preserve">Malaysia</w:t>
      </w:r>
    </w:p>
    <w:p>
      <w:pPr>
        <w:pStyle w:val="BodyText"/>
      </w:pPr>
      <w:r>
        <w:t xml:space="preserve">Phone: +603-5555-0199 | Email: billing@advancedrobotics.my</w:t>
      </w:r>
    </w:p>
    <w:p>
      <w:pPr>
        <w:pStyle w:val="BodyText"/>
      </w:pPr>
      <w:r>
        <w:t xml:space="preserve">Company Reg No: 202301012345 (1456789-X)</w:t>
      </w:r>
    </w:p>
    <w:bookmarkEnd w:id="20"/>
    <w:bookmarkStart w:id="21" w:name="invoice"/>
    <w:p>
      <w:pPr>
        <w:pStyle w:val="Heading2"/>
      </w:pPr>
      <w:r>
        <w:t xml:space="preserve">INVOICE</w:t>
      </w:r>
    </w:p>
    <w:p>
      <w:pPr>
        <w:pStyle w:val="FirstParagraph"/>
      </w:pPr>
      <w:r>
        <w:t xml:space="preserve">Invoice #: INV-2023-ROB-089</w:t>
      </w:r>
    </w:p>
    <w:p>
      <w:pPr>
        <w:pStyle w:val="BodyText"/>
      </w:pPr>
      <w:r>
        <w:t xml:space="preserve">Date: October 24, 2023</w:t>
      </w:r>
    </w:p>
    <w:p>
      <w:pPr>
        <w:pStyle w:val="BodyText"/>
      </w:pPr>
      <w:r>
        <w:t xml:space="preserve">Due Date: November 24, 2023</w:t>
      </w:r>
    </w:p>
    <w:p>
      <w:pPr>
        <w:pStyle w:val="BodyText"/>
      </w:pPr>
      <w:r>
        <w:t xml:space="preserve">Project Location:</w:t>
      </w:r>
      <w:r>
        <w:t xml:space="preserve"> </w:t>
      </w:r>
      <w:r>
        <w:rPr>
          <w:bCs/>
          <w:b/>
        </w:rPr>
        <w:t xml:space="preserve">Kuala Lumpur</w:t>
      </w:r>
    </w:p>
    <w:bookmarkEnd w:id="21"/>
    <w:bookmarkStart w:id="22" w:name="bill-to"/>
    <w:p>
      <w:pPr>
        <w:pStyle w:val="Heading3"/>
      </w:pPr>
      <w:r>
        <w:t xml:space="preserve">Bill To:</w:t>
      </w:r>
    </w:p>
    <w:p>
      <w:pPr>
        <w:pStyle w:val="FirstParagraph"/>
      </w:pPr>
      <w:r>
        <w:rPr>
          <w:bCs/>
          <w:b/>
        </w:rPr>
        <w:t xml:space="preserve">Future Industries Manufacturing Sdn Bhd</w:t>
      </w:r>
    </w:p>
    <w:p>
      <w:pPr>
        <w:pStyle w:val="BodyText"/>
      </w:pPr>
      <w:r>
        <w:t xml:space="preserve">Attn: Mr. Tan Wei Ming, Operations Director</w:t>
      </w:r>
    </w:p>
    <w:p>
      <w:pPr>
        <w:pStyle w:val="BodyText"/>
      </w:pPr>
      <w:r>
        <w:t xml:space="preserve">Level 15, Menara KLCC, Jalan Ampang</w:t>
      </w:r>
    </w:p>
    <w:p>
      <w:pPr>
        <w:pStyle w:val="BodyText"/>
      </w:pPr>
      <w:r>
        <w:t xml:space="preserve">50450</w:t>
      </w:r>
      <w:r>
        <w:t xml:space="preserve"> </w:t>
      </w:r>
      <w:r>
        <w:rPr>
          <w:bCs/>
          <w:b/>
        </w:rPr>
        <w:t xml:space="preserve">Kuala Lumpur</w:t>
      </w:r>
      <w:r>
        <w:t xml:space="preserve">,</w:t>
      </w:r>
      <w:r>
        <w:t xml:space="preserve"> </w:t>
      </w:r>
      <w:r>
        <w:rPr>
          <w:bCs/>
          <w:b/>
        </w:rPr>
        <w:t xml:space="preserve">Malaysia</w:t>
      </w:r>
    </w:p>
    <w:p>
      <w:pPr>
        <w:pStyle w:val="BodyText"/>
      </w:pPr>
      <w:r>
        <w:t xml:space="preserve">Email: procurement@futureindustries.my</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rPr>
                <w:bCs/>
                <w:b/>
              </w:rPr>
              <w:t xml:space="preserve">Senior Robotics Engineer Consultation &amp; System Architecture Design</w:t>
            </w:r>
            <w:r>
              <w:br/>
            </w:r>
            <w:r>
              <w:t xml:space="preserve">Comprehensive analysis of the client's assembly line requirements in</w:t>
            </w:r>
            <w:r>
              <w:t xml:space="preserve"> </w:t>
            </w:r>
            <w:r>
              <w:rPr>
                <w:bCs/>
                <w:b/>
              </w:rPr>
              <w:t xml:space="preserve">Kuala Lumpur</w:t>
            </w:r>
            <w:r>
              <w:t xml:space="preserve">. Development of a custom robotic integration strategy focusing on collaborative robots (cobots) to enhance safety and efficiency. Includes site survey, workflow mapping, and preliminary CAD modeling of the robotic cell layout.</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2</w:t>
            </w:r>
          </w:p>
        </w:tc>
        <w:tc>
          <w:tcPr/>
          <w:p>
            <w:pPr>
              <w:pStyle w:val="Compact"/>
              <w:jc w:val="left"/>
            </w:pPr>
            <w:r>
              <w:rPr>
                <w:bCs/>
                <w:b/>
              </w:rPr>
              <w:t xml:space="preserve">PLC Programming and Motion Control Implementation</w:t>
            </w:r>
            <w:r>
              <w:br/>
            </w:r>
            <w:r>
              <w:t xml:space="preserve">Advanced programming of Siemens S7-1500 PLCs and KUKA robot controllers. Implementation of complex motion paths, vision system integration for part recognition, and synchronization with existing conveyor systems. This service ensures seamless communication between the</w:t>
            </w:r>
            <w:r>
              <w:t xml:space="preserve"> </w:t>
            </w:r>
            <w:r>
              <w:rPr>
                <w:bCs/>
                <w:b/>
              </w:rPr>
              <w:t xml:space="preserve">Robotics Engineer</w:t>
            </w:r>
            <w:r>
              <w:t xml:space="preserve"> </w:t>
            </w:r>
            <w:r>
              <w:t xml:space="preserve">designed logic and the physical hardware.</w:t>
            </w:r>
          </w:p>
        </w:tc>
        <w:tc>
          <w:tcPr/>
          <w:p>
            <w:pPr>
              <w:pStyle w:val="Compact"/>
              <w:jc w:val="left"/>
            </w:pPr>
            <w:r>
              <w:t xml:space="preserve">60</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3</w:t>
            </w:r>
          </w:p>
        </w:tc>
        <w:tc>
          <w:tcPr/>
          <w:p>
            <w:pPr>
              <w:pStyle w:val="Compact"/>
              <w:jc w:val="left"/>
            </w:pPr>
            <w:r>
              <w:rPr>
                <w:bCs/>
                <w:b/>
              </w:rPr>
              <w:t xml:space="preserve">On-Site Installation and Commissioning in Kuala Lumpur</w:t>
            </w:r>
            <w:r>
              <w:br/>
            </w:r>
            <w:r>
              <w:t xml:space="preserve">Physical deployment of robotic arms and safety fencing at the client's facility in</w:t>
            </w:r>
            <w:r>
              <w:t xml:space="preserve"> </w:t>
            </w:r>
            <w:r>
              <w:rPr>
                <w:bCs/>
                <w:b/>
              </w:rPr>
              <w:t xml:space="preserve">Kuala Lumpur</w:t>
            </w:r>
            <w:r>
              <w:t xml:space="preserve">. Includes electrical wiring, network configuration, safety system validation (ISO 10218 compliance), and initial power-up testing. The</w:t>
            </w:r>
            <w:r>
              <w:t xml:space="preserve"> </w:t>
            </w:r>
            <w:r>
              <w:rPr>
                <w:bCs/>
                <w:b/>
              </w:rPr>
              <w:t xml:space="preserve">Robotics Engineer</w:t>
            </w:r>
            <w:r>
              <w:t xml:space="preserve"> </w:t>
            </w:r>
            <w:r>
              <w:t xml:space="preserve">will oversee the entire installation to ensure adherence to Malaysian electrical standards (MS IEC).</w:t>
            </w:r>
          </w:p>
        </w:tc>
        <w:tc>
          <w:tcPr/>
          <w:p>
            <w:pPr>
              <w:pStyle w:val="Compact"/>
              <w:jc w:val="left"/>
            </w:pPr>
            <w:r>
              <w:t xml:space="preserve">30</w:t>
            </w:r>
          </w:p>
        </w:tc>
        <w:tc>
          <w:tcPr/>
          <w:p>
            <w:pPr>
              <w:pStyle w:val="Compact"/>
              <w:jc w:val="left"/>
            </w:pPr>
            <w:r>
              <w:t xml:space="preserve">400.00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Staff Training and Knowledge Transfer</w:t>
            </w:r>
            <w:r>
              <w:br/>
            </w:r>
            <w:r>
              <w:t xml:space="preserve">Two-day intensive workshop for Future Industries' maintenance team. Topics include basic robot operation, fault diagnosis, emergency stop procedures, and routine maintenance schedules. Ensures the client's team can operate the new robotic systems effectively after the</w:t>
            </w:r>
            <w:r>
              <w:t xml:space="preserve"> </w:t>
            </w:r>
            <w:r>
              <w:rPr>
                <w:bCs/>
                <w:b/>
              </w:rPr>
              <w:t xml:space="preserve">Robotics Engineer</w:t>
            </w:r>
            <w:r>
              <w:t xml:space="preserve"> </w:t>
            </w:r>
            <w:r>
              <w:t xml:space="preserve">departs.</w:t>
            </w:r>
          </w:p>
        </w:tc>
        <w:tc>
          <w:tcPr/>
          <w:p>
            <w:pPr>
              <w:pStyle w:val="Compact"/>
              <w:jc w:val="left"/>
            </w:pPr>
            <w:r>
              <w:t xml:space="preserve">16</w:t>
            </w:r>
          </w:p>
        </w:tc>
        <w:tc>
          <w:tcPr/>
          <w:p>
            <w:pPr>
              <w:pStyle w:val="Compact"/>
              <w:jc w:val="left"/>
            </w:pPr>
            <w:r>
              <w:t xml:space="preserve">300.00</w:t>
            </w:r>
          </w:p>
        </w:tc>
        <w:tc>
          <w:tcPr/>
          <w:p>
            <w:pPr>
              <w:pStyle w:val="Compact"/>
              <w:jc w:val="left"/>
            </w:pPr>
            <w:r>
              <w:t xml:space="preserve">4,800.00</w:t>
            </w:r>
          </w:p>
        </w:tc>
      </w:tr>
      <w:tr>
        <w:tc>
          <w:tcPr/>
          <w:p>
            <w:pPr>
              <w:pStyle w:val="Compact"/>
              <w:jc w:val="left"/>
            </w:pPr>
            <w:r>
              <w:t xml:space="preserve">5</w:t>
            </w:r>
          </w:p>
        </w:tc>
        <w:tc>
          <w:tcPr/>
          <w:p>
            <w:pPr>
              <w:pStyle w:val="Compact"/>
              <w:jc w:val="left"/>
            </w:pPr>
            <w:r>
              <w:rPr>
                <w:bCs/>
                <w:b/>
              </w:rPr>
              <w:t xml:space="preserve">Documentation and Technical Reporting</w:t>
            </w:r>
            <w:r>
              <w:br/>
            </w:r>
            <w:r>
              <w:t xml:space="preserve">Preparation of detailed technical manuals, wiring diagrams, and program code documentation. Includes a final project report summarizing the performance metrics achieved during the trial run in</w:t>
            </w:r>
            <w:r>
              <w:t xml:space="preserve"> </w:t>
            </w:r>
            <w:r>
              <w:rPr>
                <w:bCs/>
                <w:b/>
              </w:rPr>
              <w:t xml:space="preserve">Kuala Lumpur</w:t>
            </w:r>
            <w:r>
              <w:t xml:space="preserv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MYR 54,300.00</w:t>
      </w:r>
    </w:p>
    <w:p>
      <w:pPr>
        <w:pStyle w:val="BodyText"/>
      </w:pPr>
      <w:r>
        <w:t xml:space="preserve">SST (6%):</w:t>
      </w:r>
      <w:r>
        <w:t xml:space="preserve"> </w:t>
      </w:r>
      <w:r>
        <w:t xml:space="preserve">MYR 3,258.00</w:t>
      </w:r>
    </w:p>
    <w:p>
      <w:pPr>
        <w:pStyle w:val="BodyText"/>
      </w:pPr>
      <w:r>
        <w:t xml:space="preserve">Total Due:</w:t>
      </w:r>
      <w:r>
        <w:t xml:space="preserve"> </w:t>
      </w:r>
      <w:r>
        <w:t xml:space="preserve">MYR 57,558.00</w:t>
      </w:r>
    </w:p>
    <w:bookmarkStart w:id="23" w:name="terms-and-conditions"/>
    <w:p>
      <w:pPr>
        <w:pStyle w:val="Heading4"/>
      </w:pPr>
      <w:r>
        <w:t xml:space="preserve">Terms and Conditions:</w:t>
      </w:r>
    </w:p>
    <w:p>
      <w:pPr>
        <w:pStyle w:val="FirstParagraph"/>
      </w:pPr>
      <w:r>
        <w:t xml:space="preserve">1. Payment is due within 30 days of the invoice date. Late payments may incur a penalty of 1.5% per month.</w:t>
      </w:r>
    </w:p>
    <w:p>
      <w:pPr>
        <w:pStyle w:val="BodyText"/>
      </w:pPr>
      <w:r>
        <w:t xml:space="preserve">2. All services provided by our</w:t>
      </w:r>
      <w:r>
        <w:t xml:space="preserve"> </w:t>
      </w:r>
      <w:r>
        <w:rPr>
          <w:bCs/>
          <w:b/>
        </w:rPr>
        <w:t xml:space="preserve">Robotics Engineer</w:t>
      </w:r>
      <w:r>
        <w:t xml:space="preserve"> </w:t>
      </w:r>
      <w:r>
        <w:t xml:space="preserve">are subject to the terms outlined in the Master Service Agreement dated September 1, 2023.</w:t>
      </w:r>
    </w:p>
    <w:p>
      <w:pPr>
        <w:pStyle w:val="BodyText"/>
      </w:pPr>
      <w:r>
        <w:t xml:space="preserve">3. This</w:t>
      </w:r>
      <w:r>
        <w:t xml:space="preserve"> </w:t>
      </w:r>
      <w:r>
        <w:rPr>
          <w:bCs/>
          <w:b/>
        </w:rPr>
        <w:t xml:space="preserve">Invoice</w:t>
      </w:r>
      <w:r>
        <w:t xml:space="preserve"> </w:t>
      </w:r>
      <w:r>
        <w:t xml:space="preserve">is valid for services rendered in</w:t>
      </w:r>
      <w:r>
        <w:t xml:space="preserve"> </w:t>
      </w:r>
      <w:r>
        <w:rPr>
          <w:bCs/>
          <w:b/>
        </w:rPr>
        <w:t xml:space="preserve">Malaysia Kuala Lumpur</w:t>
      </w:r>
      <w:r>
        <w:t xml:space="preserve">. Any travel outside this region will be billed separately.</w:t>
      </w:r>
    </w:p>
    <w:p>
      <w:pPr>
        <w:pStyle w:val="BodyText"/>
      </w:pPr>
      <w:r>
        <w:t xml:space="preserve">4. Please make payments via bank transfer to the account details below:</w:t>
      </w:r>
    </w:p>
    <w:p>
      <w:pPr>
        <w:pStyle w:val="BodyText"/>
      </w:pPr>
      <w:r>
        <w:rPr>
          <w:bCs/>
          <w:b/>
        </w:rPr>
        <w:t xml:space="preserve">Bank Name:</w:t>
      </w:r>
      <w:r>
        <w:t xml:space="preserve"> </w:t>
      </w:r>
      <w:r>
        <w:t xml:space="preserve">Maybank Berhad</w:t>
      </w:r>
      <w:r>
        <w:br/>
      </w:r>
      <w:r>
        <w:rPr>
          <w:bCs/>
          <w:b/>
        </w:rPr>
        <w:t xml:space="preserve">Account Name:</w:t>
      </w:r>
      <w:r>
        <w:t xml:space="preserve"> </w:t>
      </w:r>
      <w:r>
        <w:t xml:space="preserve">Advanced Robotics Solutions Sdn Bhd</w:t>
      </w:r>
      <w:r>
        <w:br/>
      </w:r>
      <w:r>
        <w:rPr>
          <w:bCs/>
          <w:b/>
        </w:rPr>
        <w:t xml:space="preserve">Account Number:</w:t>
      </w:r>
      <w:r>
        <w:t xml:space="preserve"> </w:t>
      </w:r>
      <w:r>
        <w:t xml:space="preserve">5678 9012 3456</w:t>
      </w:r>
      <w:r>
        <w:br/>
      </w:r>
      <w:r>
        <w:rPr>
          <w:bCs/>
          <w:b/>
        </w:rPr>
        <w:t xml:space="preserve">Reference:</w:t>
      </w:r>
      <w:r>
        <w:t xml:space="preserve"> </w:t>
      </w:r>
      <w:r>
        <w:t xml:space="preserve">INV-2023-ROB-089</w:t>
      </w:r>
    </w:p>
    <w:p>
      <w:pPr>
        <w:pStyle w:val="BodyText"/>
      </w:pPr>
      <w:r>
        <w:t xml:space="preserve">5. If you have any questions regarding this</w:t>
      </w:r>
      <w:r>
        <w:t xml:space="preserve"> </w:t>
      </w:r>
      <w:r>
        <w:rPr>
          <w:bCs/>
          <w:b/>
        </w:rPr>
        <w:t xml:space="preserve">Invoice</w:t>
      </w:r>
      <w:r>
        <w:t xml:space="preserve"> </w:t>
      </w:r>
      <w:r>
        <w:t xml:space="preserve">or the robotics engineering services provided, please contact our finance department immediately.</w:t>
      </w:r>
    </w:p>
    <w:bookmarkEnd w:id="23"/>
    <w:p>
      <w:pPr>
        <w:pStyle w:val="BodyText"/>
      </w:pPr>
      <w:r>
        <w:rPr>
          <w:bCs/>
          <w:b/>
        </w:rPr>
        <w:t xml:space="preserve">Authorized Signature</w:t>
      </w:r>
    </w:p>
    <w:p>
      <w:pPr>
        <w:pStyle w:val="BodyText"/>
      </w:pPr>
      <w:r>
        <w:t xml:space="preserve">Dr. Sarah Lim, Lead Robotics Engineer</w:t>
      </w:r>
    </w:p>
    <w:p>
      <w:pPr>
        <w:pStyle w:val="BodyText"/>
      </w:pPr>
      <w:r>
        <w:t xml:space="preserve">Advanced Robotics Solutions Sdn Bhd</w:t>
      </w:r>
    </w:p>
    <w:p>
      <w:pPr>
        <w:pStyle w:val="BodyText"/>
      </w:pPr>
      <w:r>
        <w:rPr>
          <w:bCs/>
          <w:b/>
        </w:rPr>
        <w:t xml:space="preserve">Received By</w:t>
      </w:r>
    </w:p>
    <w:p>
      <w:pPr>
        <w:pStyle w:val="BodyText"/>
      </w:pPr>
      <w:r>
        <w:t xml:space="preserve">Future Industries Manufacturing Sdn Bhd</w:t>
      </w:r>
    </w:p>
    <w:p>
      <w:pPr>
        <w:pStyle w:val="BodyText"/>
      </w:pPr>
      <w:r>
        <w:t xml:space="preserve">Date: 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2026-10-10T02:49:16Z</dcterms:created>
  <dcterms:modified xsi:type="dcterms:W3CDTF">2026-10-10T02:49:16Z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