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for</w:t>
      </w:r>
      <w:r>
        <w:t xml:space="preserve"> </w:t>
      </w:r>
      <w:r>
        <w:t xml:space="preserve">Robotics</w:t>
      </w:r>
      <w:r>
        <w:t xml:space="preserve"> </w:t>
      </w:r>
      <w:r>
        <w:t xml:space="preserve">Engineering</w:t>
      </w:r>
      <w:r>
        <w:t xml:space="preserve"> </w:t>
      </w:r>
      <w:r>
        <w:t xml:space="preserve">Services</w:t>
      </w:r>
    </w:p>
    <w:bookmarkStart w:id="20" w:name="yangon-advanced-robotics-solutions"/>
    <w:p>
      <w:pPr>
        <w:pStyle w:val="Heading1"/>
      </w:pPr>
      <w:r>
        <w:t xml:space="preserve">Yangon Advanced Robotics Solutions</w:t>
      </w:r>
    </w:p>
    <w:p>
      <w:pPr>
        <w:pStyle w:val="FirstParagraph"/>
      </w:pPr>
      <w:r>
        <w:t xml:space="preserve">123 Technopark Avenue, Hlaing Tharyar Township</w:t>
      </w:r>
    </w:p>
    <w:p>
      <w:pPr>
        <w:pStyle w:val="BodyText"/>
      </w:pPr>
      <w:r>
        <w:t xml:space="preserve">Yangon, Myanmar</w:t>
      </w:r>
    </w:p>
    <w:p>
      <w:pPr>
        <w:pStyle w:val="BodyText"/>
      </w:pPr>
      <w:r>
        <w:t xml:space="preserve">Email: billing@yarobotics.mm | Phone: +95 9 123 456 789</w:t>
      </w:r>
    </w:p>
    <w:p>
      <w:pPr>
        <w:pStyle w:val="BodyText"/>
      </w:pPr>
      <w:r>
        <w:t xml:space="preserve">Tax ID: MM-ROB-2023-8899</w:t>
      </w:r>
    </w:p>
    <w:bookmarkEnd w:id="20"/>
    <w:bookmarkStart w:id="21" w:name="invoice"/>
    <w:p>
      <w:pPr>
        <w:pStyle w:val="Heading2"/>
      </w:pPr>
      <w:r>
        <w:t xml:space="preserve">INVOICE</w:t>
      </w:r>
    </w:p>
    <w:p>
      <w:pPr>
        <w:pStyle w:val="FirstParagraph"/>
      </w:pPr>
      <w:r>
        <w:t xml:space="preserve">Professional Robotics Engineering Services</w:t>
      </w:r>
    </w:p>
    <w:bookmarkEnd w:id="21"/>
    <w:p>
      <w:pPr>
        <w:pStyle w:val="BodyText"/>
      </w:pPr>
      <w:r>
        <w:t xml:space="preserve">Bill To:</w:t>
      </w:r>
    </w:p>
    <w:p>
      <w:pPr>
        <w:pStyle w:val="BodyText"/>
      </w:pPr>
      <w:r>
        <w:rPr>
          <w:bCs/>
          <w:b/>
        </w:rPr>
        <w:t xml:space="preserve">Myanmar Industrial Automation Corp.</w:t>
      </w:r>
      <w:r>
        <w:br/>
      </w:r>
      <w:r>
        <w:t xml:space="preserve">Attn: Procurement Department</w:t>
      </w:r>
      <w:r>
        <w:br/>
      </w:r>
      <w:r>
        <w:t xml:space="preserve">45 Industrial Zone Road</w:t>
      </w:r>
      <w:r>
        <w:br/>
      </w:r>
      <w:r>
        <w:t xml:space="preserve">Thilawa Special Economic Zone</w:t>
      </w:r>
      <w:r>
        <w:br/>
      </w:r>
      <w:r>
        <w:t xml:space="preserve">Yangon, Myanmar</w:t>
      </w:r>
    </w:p>
    <w:p>
      <w:pPr>
        <w:pStyle w:val="BodyText"/>
      </w:pPr>
      <w:r>
        <w:t xml:space="preserve">Invoice Details:</w:t>
      </w:r>
    </w:p>
    <w:p>
      <w:pPr>
        <w:pStyle w:val="BodyText"/>
      </w:pPr>
      <w:r>
        <w:rPr>
          <w:bCs/>
          <w:b/>
        </w:rPr>
        <w:t xml:space="preserve">Invoice Number:</w:t>
      </w:r>
      <w:r>
        <w:t xml:space="preserve"> </w:t>
      </w:r>
      <w:r>
        <w:t xml:space="preserve">INV-2023-ROB-045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YGN-AUTO-LINE-01</w:t>
      </w:r>
    </w:p>
    <w:p>
      <w:pPr>
        <w:pStyle w:val="BodyText"/>
      </w:pPr>
      <w:r>
        <w:t xml:space="preserve">This</w:t>
      </w:r>
      <w:r>
        <w:t xml:space="preserve"> </w:t>
      </w:r>
      <w:r>
        <w:rPr>
          <w:bCs/>
          <w:b/>
        </w:rPr>
        <w:t xml:space="preserve">Invoice</w:t>
      </w:r>
      <w:r>
        <w:t xml:space="preserve"> </w:t>
      </w:r>
      <w:r>
        <w:t xml:space="preserve">serves as a formal request for payment regarding the specialized technical services rendered by our team of certified</w:t>
      </w:r>
      <w:r>
        <w:t xml:space="preserve"> </w:t>
      </w:r>
      <w:r>
        <w:rPr>
          <w:bCs/>
          <w:b/>
        </w:rPr>
        <w:t xml:space="preserve">Robotics Engineer</w:t>
      </w:r>
      <w:r>
        <w:t xml:space="preserve"> </w:t>
      </w:r>
      <w:r>
        <w:t xml:space="preserve">professionals. These services were executed specifically for the automation upgrade project located within the industrial facilities in</w:t>
      </w:r>
      <w:r>
        <w:t xml:space="preserve"> </w:t>
      </w:r>
      <w:r>
        <w:rPr>
          <w:bCs/>
          <w:b/>
        </w:rPr>
        <w:t xml:space="preserve">Myanmar Yangon</w:t>
      </w:r>
      <w:r>
        <w:t xml:space="preserve">. The following breakdown details the engineering hours, system integration tasks, and hardware configuration work performed to enhance your manufacturing efficiency.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Site Analysis &amp; Feasibility Study:</w:t>
            </w:r>
            <w:r>
              <w:t xml:space="preserve"> </w:t>
            </w:r>
            <w:r>
              <w:t xml:space="preserve">Comprehensive assessment of the factory floor in Yangon to determine optimal placement for robotic arms. Conducted by a Senior Robotics Engineer.</w:t>
            </w:r>
          </w:p>
        </w:tc>
        <w:tc>
          <w:tcPr/>
          <w:p>
            <w:pPr>
              <w:pStyle w:val="Compact"/>
              <w:jc w:val="left"/>
            </w:pPr>
            <w:r>
              <w:t xml:space="preserve">16.0</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Robotic Arm Programming &amp; Calibration:</w:t>
            </w:r>
            <w:r>
              <w:t xml:space="preserve"> </w:t>
            </w:r>
            <w:r>
              <w:t xml:space="preserve">Advanced kinematic programming for 4-axis collaborative robots. Includes safety zone configuration and payload calibration tailored to local environmental conditions.</w:t>
            </w:r>
          </w:p>
        </w:tc>
        <w:tc>
          <w:tcPr/>
          <w:p>
            <w:pPr>
              <w:pStyle w:val="Compact"/>
              <w:jc w:val="left"/>
            </w:pPr>
            <w:r>
              <w:t xml:space="preserve">40.0</w:t>
            </w:r>
          </w:p>
        </w:tc>
        <w:tc>
          <w:tcPr/>
          <w:p>
            <w:pPr>
              <w:pStyle w:val="Compact"/>
              <w:jc w:val="left"/>
            </w:pPr>
            <w:r>
              <w:t xml:space="preserve">175,000</w:t>
            </w:r>
          </w:p>
        </w:tc>
        <w:tc>
          <w:tcPr/>
          <w:p>
            <w:pPr>
              <w:pStyle w:val="Compact"/>
              <w:jc w:val="left"/>
            </w:pPr>
            <w:r>
              <w:t xml:space="preserve">7,000,000</w:t>
            </w:r>
          </w:p>
        </w:tc>
      </w:tr>
      <w:tr>
        <w:tc>
          <w:tcPr/>
          <w:p>
            <w:pPr>
              <w:pStyle w:val="Compact"/>
              <w:jc w:val="left"/>
            </w:pPr>
            <w:r>
              <w:t xml:space="preserve">3</w:t>
            </w:r>
          </w:p>
        </w:tc>
        <w:tc>
          <w:tcPr/>
          <w:p>
            <w:pPr>
              <w:pStyle w:val="Compact"/>
              <w:jc w:val="left"/>
            </w:pPr>
            <w:r>
              <w:rPr>
                <w:bCs/>
                <w:b/>
              </w:rPr>
              <w:t xml:space="preserve">PLC Integration &amp; Control Systems:</w:t>
            </w:r>
            <w:r>
              <w:t xml:space="preserve"> </w:t>
            </w:r>
            <w:r>
              <w:t xml:space="preserve">Integration of robotic units with existing Programmable Logic Controllers (PLC). Ensuring seamless communication protocols (Modbus TCP/IP) within the Yangon facility network.</w:t>
            </w:r>
          </w:p>
        </w:tc>
        <w:tc>
          <w:tcPr/>
          <w:p>
            <w:pPr>
              <w:pStyle w:val="Compact"/>
              <w:jc w:val="left"/>
            </w:pPr>
            <w:r>
              <w:t xml:space="preserve">24.0</w:t>
            </w:r>
          </w:p>
        </w:tc>
        <w:tc>
          <w:tcPr/>
          <w:p>
            <w:pPr>
              <w:pStyle w:val="Compact"/>
              <w:jc w:val="left"/>
            </w:pPr>
            <w:r>
              <w:t xml:space="preserve">160,000</w:t>
            </w:r>
          </w:p>
        </w:tc>
        <w:tc>
          <w:tcPr/>
          <w:p>
            <w:pPr>
              <w:pStyle w:val="Compact"/>
              <w:jc w:val="left"/>
            </w:pPr>
            <w:r>
              <w:t xml:space="preserve">3,840,000</w:t>
            </w:r>
          </w:p>
        </w:tc>
      </w:tr>
      <w:tr>
        <w:tc>
          <w:tcPr/>
          <w:p>
            <w:pPr>
              <w:pStyle w:val="Compact"/>
              <w:jc w:val="left"/>
            </w:pPr>
            <w:r>
              <w:t xml:space="preserve">4</w:t>
            </w:r>
          </w:p>
        </w:tc>
        <w:tc>
          <w:tcPr/>
          <w:p>
            <w:pPr>
              <w:pStyle w:val="Compact"/>
              <w:jc w:val="left"/>
            </w:pPr>
            <w:r>
              <w:rPr>
                <w:bCs/>
                <w:b/>
              </w:rPr>
              <w:t xml:space="preserve">Vision System Implementation:</w:t>
            </w:r>
            <w:r>
              <w:t xml:space="preserve"> </w:t>
            </w:r>
            <w:r>
              <w:t xml:space="preserve">Installation and tuning of machine vision cameras for quality control. The Robotics Engineer configured image processing algorithms to detect defects in real-time.</w:t>
            </w:r>
          </w:p>
        </w:tc>
        <w:tc>
          <w:tcPr/>
          <w:p>
            <w:pPr>
              <w:pStyle w:val="Compact"/>
              <w:jc w:val="left"/>
            </w:pPr>
            <w:r>
              <w:t xml:space="preserve">12.0</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 for local operators in Yangon. Provided technical manuals and safety guidelines for operating the new robotic systems.</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6</w:t>
            </w:r>
          </w:p>
        </w:tc>
        <w:tc>
          <w:tcPr/>
          <w:p>
            <w:pPr>
              <w:pStyle w:val="Compact"/>
              <w:jc w:val="left"/>
            </w:pPr>
            <w:r>
              <w:rPr>
                <w:bCs/>
                <w:b/>
              </w:rPr>
              <w:t xml:space="preserve">System Testing &amp; Commissioning:</w:t>
            </w:r>
            <w:r>
              <w:t xml:space="preserve"> </w:t>
            </w:r>
            <w:r>
              <w:t xml:space="preserve">Final end-to-end testing of the automated line. Verification of cycle times and error rates to ensure compliance with international robotics standards.</w:t>
            </w:r>
          </w:p>
        </w:tc>
        <w:tc>
          <w:tcPr/>
          <w:p>
            <w:pPr>
              <w:pStyle w:val="Compact"/>
              <w:jc w:val="left"/>
            </w:pPr>
            <w:r>
              <w:t xml:space="preserve">10.0</w:t>
            </w:r>
          </w:p>
        </w:tc>
        <w:tc>
          <w:tcPr/>
          <w:p>
            <w:pPr>
              <w:pStyle w:val="Compact"/>
              <w:jc w:val="left"/>
            </w:pPr>
            <w:r>
              <w:t xml:space="preserve">150,000</w:t>
            </w:r>
          </w:p>
        </w:tc>
        <w:tc>
          <w:tcPr/>
          <w:p>
            <w:pPr>
              <w:pStyle w:val="Compact"/>
              <w:jc w:val="left"/>
            </w:pPr>
            <w:r>
              <w:t xml:space="preserve">1,500,000</w:t>
            </w:r>
          </w:p>
        </w:tc>
      </w:tr>
    </w:tbl>
    <w:p>
      <w:pPr>
        <w:pStyle w:val="BodyText"/>
      </w:pPr>
      <w:r>
        <w:t xml:space="preserve">Subtotal:</w:t>
      </w:r>
      <w:r>
        <w:t xml:space="preserve"> </w:t>
      </w:r>
      <w:r>
        <w:t xml:space="preserve">17,860,000 MMK</w:t>
      </w:r>
    </w:p>
    <w:p>
      <w:pPr>
        <w:pStyle w:val="BodyText"/>
      </w:pPr>
      <w:r>
        <w:t xml:space="preserve">Tax (5%):</w:t>
      </w:r>
      <w:r>
        <w:t xml:space="preserve"> </w:t>
      </w:r>
      <w:r>
        <w:t xml:space="preserve">893,000 MMK</w:t>
      </w:r>
    </w:p>
    <w:p>
      <w:pPr>
        <w:pStyle w:val="BodyText"/>
      </w:pPr>
      <w:r>
        <w:t xml:space="preserve">Total Due:</w:t>
      </w:r>
      <w:r>
        <w:t xml:space="preserve"> </w:t>
      </w:r>
      <w:r>
        <w:t xml:space="preserve">18,753,000 MMK</w:t>
      </w:r>
    </w:p>
    <w:bookmarkStart w:id="22" w:name="payment-instructions"/>
    <w:p>
      <w:pPr>
        <w:pStyle w:val="Heading4"/>
      </w:pPr>
      <w:r>
        <w:t xml:space="preserve">Payment Instructions</w:t>
      </w:r>
    </w:p>
    <w:p>
      <w:pPr>
        <w:pStyle w:val="FirstParagraph"/>
      </w:pPr>
      <w:r>
        <w:t xml:space="preserve">Please remit payment within 30 days of the invoice date. Payments should be made in Myanmar Kyat (MMK) via bank transfer to the following account:</w:t>
      </w:r>
    </w:p>
    <w:p>
      <w:pPr>
        <w:pStyle w:val="BodyText"/>
      </w:pPr>
      <w:r>
        <w:rPr>
          <w:bCs/>
          <w:b/>
        </w:rPr>
        <w:t xml:space="preserve">Bank Name:</w:t>
      </w:r>
      <w:r>
        <w:t xml:space="preserve"> </w:t>
      </w:r>
      <w:r>
        <w:t xml:space="preserve">KBZ Bank</w:t>
      </w:r>
      <w:r>
        <w:br/>
      </w:r>
      <w:r>
        <w:rPr>
          <w:bCs/>
          <w:b/>
        </w:rPr>
        <w:t xml:space="preserve">Branch:</w:t>
      </w:r>
      <w:r>
        <w:t xml:space="preserve"> </w:t>
      </w:r>
      <w:r>
        <w:t xml:space="preserve">Yangon Central Branch</w:t>
      </w:r>
      <w:r>
        <w:br/>
      </w:r>
      <w:r>
        <w:rPr>
          <w:bCs/>
          <w:b/>
        </w:rPr>
        <w:t xml:space="preserve">Account Name:</w:t>
      </w:r>
      <w:r>
        <w:t xml:space="preserve"> </w:t>
      </w:r>
      <w:r>
        <w:t xml:space="preserve">Yangon Advanced Robotics Solutions Co., Ltd.</w:t>
      </w:r>
      <w:r>
        <w:br/>
      </w:r>
      <w:r>
        <w:rPr>
          <w:bCs/>
          <w:b/>
        </w:rPr>
        <w:t xml:space="preserve">Account Number:</w:t>
      </w:r>
      <w:r>
        <w:t xml:space="preserve"> </w:t>
      </w:r>
      <w:r>
        <w:t xml:space="preserve">0123-4567-8901-2345</w:t>
      </w:r>
    </w:p>
    <w:p>
      <w:pPr>
        <w:pStyle w:val="BodyText"/>
      </w:pPr>
      <w:r>
        <w:t xml:space="preserve">Please reference the Invoice Number (INV-2023-ROB-045) in your payment description to ensure proper allocation.</w:t>
      </w:r>
    </w:p>
    <w:bookmarkEnd w:id="22"/>
    <w:bookmarkStart w:id="23"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all engineering labor performed by the Robotics Engineer as outlined in the service agreement dated October 1, 2023. It does not include the cost of hardware procurement, which was billed separately.</w:t>
      </w:r>
    </w:p>
    <w:p>
      <w:pPr>
        <w:numPr>
          <w:ilvl w:val="0"/>
          <w:numId w:val="1001"/>
        </w:numPr>
        <w:pStyle w:val="Compact"/>
      </w:pPr>
      <w:r>
        <w:rPr>
          <w:bCs/>
          <w:b/>
        </w:rPr>
        <w:t xml:space="preserve">Warranty:</w:t>
      </w:r>
      <w:r>
        <w:t xml:space="preserve"> </w:t>
      </w:r>
      <w:r>
        <w:t xml:space="preserve">All programming and integration work is warranted for a period of 12 months from the date of commissioning in Yangon. This warranty covers defects in code and logic but excludes damage caused by misuse or external hardware failure.</w:t>
      </w:r>
    </w:p>
    <w:p>
      <w:pPr>
        <w:numPr>
          <w:ilvl w:val="0"/>
          <w:numId w:val="1001"/>
        </w:numPr>
        <w:pStyle w:val="Compact"/>
      </w:pPr>
      <w:r>
        <w:rPr>
          <w:bCs/>
          <w:b/>
        </w:rPr>
        <w:t xml:space="preserve">Late Payments:</w:t>
      </w:r>
      <w:r>
        <w:t xml:space="preserve"> </w:t>
      </w:r>
      <w:r>
        <w:t xml:space="preserve">Any invoices not paid by the due date will incur a late fee of 2% per month on the outstanding balance.</w:t>
      </w:r>
    </w:p>
    <w:p>
      <w:pPr>
        <w:numPr>
          <w:ilvl w:val="0"/>
          <w:numId w:val="1001"/>
        </w:numPr>
        <w:pStyle w:val="Compact"/>
      </w:pPr>
      <w:r>
        <w:rPr>
          <w:bCs/>
          <w:b/>
        </w:rPr>
        <w:t xml:space="preserve">Dispute Resolution:</w:t>
      </w:r>
      <w:r>
        <w:t xml:space="preserve"> </w:t>
      </w:r>
      <w:r>
        <w:t xml:space="preserve">Any disputes regarding this invoice or the services provided shall be resolved through negotiation. If unresolved, disputes will be settled under the laws of the Republic of the Union of Myanmar.</w:t>
      </w:r>
    </w:p>
    <w:p>
      <w:pPr>
        <w:numPr>
          <w:ilvl w:val="0"/>
          <w:numId w:val="1001"/>
        </w:numPr>
        <w:pStyle w:val="Compact"/>
      </w:pPr>
      <w:r>
        <w:rPr>
          <w:bCs/>
          <w:b/>
        </w:rPr>
        <w:t xml:space="preserve">Intellectual Property:</w:t>
      </w:r>
      <w:r>
        <w:t xml:space="preserve"> </w:t>
      </w:r>
      <w:r>
        <w:t xml:space="preserve">Custom scripts and configurations developed by the Robotics Engineer for this project remain the intellectual property of Yangon Advanced Robotics Solutions until full payment is received.</w:t>
      </w:r>
    </w:p>
    <w:bookmarkEnd w:id="23"/>
    <w:p>
      <w:pPr>
        <w:pStyle w:val="FirstParagraph"/>
      </w:pPr>
      <w:r>
        <w:t xml:space="preserve">Authorized Signature (Provider)</w:t>
      </w:r>
      <w:r>
        <w:br/>
      </w:r>
      <w:r>
        <w:t xml:space="preserve">Aung Kyaw Min</w:t>
      </w:r>
      <w:r>
        <w:br/>
      </w:r>
      <w:r>
        <w:t xml:space="preserve">Lead Robotics Engineer</w:t>
      </w:r>
    </w:p>
    <w:p>
      <w:pPr>
        <w:pStyle w:val="BodyText"/>
      </w:pPr>
      <w:r>
        <w:t xml:space="preserve">Received By (Client)</w:t>
      </w:r>
      <w:r>
        <w:br/>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for Robotics Engineering Services</dc:title>
  <dc:creator/>
  <dc:language>en</dc:language>
  <cp:keywords/>
  <dcterms:created xsi:type="dcterms:W3CDTF">2026-10-10T06:13:15Z</dcterms:created>
  <dcterms:modified xsi:type="dcterms:W3CDTF">2026-10-10T06:13:15Z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