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madrid-robotics-solutions-s.l."/>
    <w:p>
      <w:pPr>
        <w:pStyle w:val="Heading1"/>
      </w:pPr>
      <w:r>
        <w:t xml:space="preserve">Madrid Robotics Solutions S.L.</w:t>
      </w:r>
    </w:p>
    <w:p>
      <w:pPr>
        <w:pStyle w:val="FirstParagraph"/>
      </w:pPr>
      <w:r>
        <w:t xml:space="preserve">Calle de Alcalá, 123, 28009 Madrid, Spain</w:t>
      </w:r>
    </w:p>
    <w:p>
      <w:pPr>
        <w:pStyle w:val="BodyText"/>
      </w:pPr>
      <w:r>
        <w:t xml:space="preserve">Phone: +34 91 123 4567</w:t>
      </w:r>
    </w:p>
    <w:p>
      <w:pPr>
        <w:pStyle w:val="BodyText"/>
      </w:pPr>
      <w:r>
        <w:t xml:space="preserve">Email: billing@madridrobotics.es</w:t>
      </w:r>
    </w:p>
    <w:p>
      <w:pPr>
        <w:pStyle w:val="BodyText"/>
      </w:pPr>
      <w:r>
        <w:t xml:space="preserve">Website: www.madridrobotics.es</w:t>
      </w:r>
    </w:p>
    <w:p>
      <w:pPr>
        <w:pStyle w:val="BodyText"/>
      </w:pPr>
      <w:r>
        <w:t xml:space="preserve">CIF: B-12345678 | VAT ID: ES-B12345678</w:t>
      </w:r>
    </w:p>
    <w:bookmarkEnd w:id="20"/>
    <w:bookmarkStart w:id="21" w:name="invoice"/>
    <w:p>
      <w:pPr>
        <w:pStyle w:val="Heading2"/>
      </w:pPr>
      <w:r>
        <w:t xml:space="preserve">INVOICE</w:t>
      </w:r>
    </w:p>
    <w:p>
      <w:pPr>
        <w:pStyle w:val="FirstParagraph"/>
      </w:pPr>
      <w:r>
        <w:t xml:space="preserve">Professional Services</w:t>
      </w:r>
    </w:p>
    <w:bookmarkEnd w:id="21"/>
    <w:p>
      <w:pPr>
        <w:pStyle w:val="BodyText"/>
      </w:pPr>
      <w:r>
        <w:t xml:space="preserve">Bill To:</w:t>
      </w:r>
    </w:p>
    <w:p>
      <w:pPr>
        <w:pStyle w:val="BodyText"/>
      </w:pPr>
      <w:r>
        <w:rPr>
          <w:bCs/>
          <w:b/>
        </w:rPr>
        <w:t xml:space="preserve">Advanced Manufacturing Corp.</w:t>
      </w:r>
    </w:p>
    <w:p>
      <w:pPr>
        <w:pStyle w:val="BodyText"/>
      </w:pPr>
      <w:r>
        <w:t xml:space="preserve">Attn: Procurement Department</w:t>
      </w:r>
    </w:p>
    <w:p>
      <w:pPr>
        <w:pStyle w:val="BodyText"/>
      </w:pPr>
      <w:r>
        <w:t xml:space="preserve">Paseo de la Castellana, 45</w:t>
      </w:r>
    </w:p>
    <w:p>
      <w:pPr>
        <w:pStyle w:val="BodyText"/>
      </w:pPr>
      <w:r>
        <w:t xml:space="preserve">28046 Madrid, Spain</w:t>
      </w:r>
    </w:p>
    <w:p>
      <w:pPr>
        <w:pStyle w:val="BodyText"/>
      </w:pPr>
      <w:r>
        <w:t xml:space="preserve">CIF: A-87654321</w:t>
      </w:r>
    </w:p>
    <w:p>
      <w:pPr>
        <w:pStyle w:val="BodyText"/>
      </w:pPr>
      <w:r>
        <w:t xml:space="preserve">Invoice Details:</w:t>
      </w:r>
    </w:p>
    <w:p>
      <w:pPr>
        <w:pStyle w:val="BodyText"/>
      </w:pPr>
      <w:r>
        <w:rPr>
          <w:bCs/>
          <w:b/>
        </w:rPr>
        <w:t xml:space="preserve">Invoice Number:</w:t>
      </w:r>
      <w:r>
        <w:t xml:space="preserve"> </w:t>
      </w:r>
      <w:r>
        <w:t xml:space="preserve">INV-2024-0892</w:t>
      </w:r>
    </w:p>
    <w:p>
      <w:pPr>
        <w:pStyle w:val="BodyText"/>
      </w:pPr>
      <w:r>
        <w:rPr>
          <w:bCs/>
          <w:b/>
        </w:rPr>
        <w:t xml:space="preserve">Date of Issue:</w:t>
      </w:r>
      <w:r>
        <w:t xml:space="preserve"> </w:t>
      </w:r>
      <w:r>
        <w:t xml:space="preserve">October 15, 2024</w:t>
      </w:r>
    </w:p>
    <w:p>
      <w:pPr>
        <w:pStyle w:val="BodyText"/>
      </w:pPr>
      <w:r>
        <w:rPr>
          <w:bCs/>
          <w:b/>
        </w:rPr>
        <w:t xml:space="preserve">Due Date:</w:t>
      </w:r>
      <w:r>
        <w:t xml:space="preserve"> </w:t>
      </w:r>
      <w:r>
        <w:t xml:space="preserve">November 14, 2024</w:t>
      </w:r>
    </w:p>
    <w:p>
      <w:pPr>
        <w:pStyle w:val="BodyText"/>
      </w:pPr>
      <w:r>
        <w:rPr>
          <w:bCs/>
          <w:b/>
        </w:rPr>
        <w:t xml:space="preserve">Service Period:</w:t>
      </w:r>
      <w:r>
        <w:t xml:space="preserve"> </w:t>
      </w:r>
      <w:r>
        <w:t xml:space="preserve">September 1 - October 15, 2024</w:t>
      </w:r>
    </w:p>
    <w:p>
      <w:pPr>
        <w:pStyle w:val="BodyText"/>
      </w:pPr>
      <w:r>
        <w:rPr>
          <w:bCs/>
          <w:b/>
        </w:rPr>
        <w:t xml:space="preserve">Project Reference:</w:t>
      </w:r>
      <w:r>
        <w:t xml:space="preserve"> </w:t>
      </w:r>
      <w:r>
        <w:t xml:space="preserve">AUTOMATION-MAD-2024-Q3</w:t>
      </w:r>
    </w:p>
    <w:p>
      <w:pPr>
        <w:pStyle w:val="BodyText"/>
      </w:pPr>
      <w:r>
        <w:t xml:space="preserve">Description of Services Rendered:</w:t>
      </w:r>
    </w:p>
    <w:p>
      <w:pPr>
        <w:pStyle w:val="BodyText"/>
      </w:pPr>
      <w:r>
        <w:t xml:space="preserve">This invoice covers professional services provided by a certified Robotics Engineer specializing in industrial automation, robotic system integration, and advanced control algorithms. All services were performed in accordance with Spanish labor regulations and technical standards applicable in Madrid, Spain. The work included on-site consultation, system design, programming, testing, and documentation for automated manufacturing processes.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VAT</w:t>
            </w:r>
          </w:p>
        </w:tc>
      </w:tr>
      <w:tr>
        <w:tc>
          <w:tcPr/>
          <w:p>
            <w:pPr>
              <w:pStyle w:val="Compact"/>
              <w:jc w:val="left"/>
            </w:pPr>
            <w:r>
              <w:t xml:space="preserve">1</w:t>
            </w:r>
          </w:p>
        </w:tc>
        <w:tc>
          <w:tcPr/>
          <w:p>
            <w:pPr>
              <w:pStyle w:val="Compact"/>
              <w:jc w:val="left"/>
            </w:pPr>
            <w:r>
              <w:rPr>
                <w:bCs/>
                <w:b/>
              </w:rPr>
              <w:t xml:space="preserve">Robotic System Architecture Design</w:t>
            </w:r>
            <w:r>
              <w:br/>
            </w:r>
            <w:r>
              <w:t xml:space="preserve"> </w:t>
            </w:r>
            <w:r>
              <w:t xml:space="preserve">Comprehensive design of multi-axis robotic cell for assembly line automation. Includes kinematic analysis, workspace optimization, and safety zone calculations compliant with EN ISO 10218 standards.</w:t>
            </w:r>
            <w:r>
              <w:t xml:space="preserve"> </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3,800.00</w:t>
            </w:r>
          </w:p>
        </w:tc>
        <w:tc>
          <w:tcPr/>
          <w:p>
            <w:pPr>
              <w:pStyle w:val="Compact"/>
              <w:jc w:val="left"/>
            </w:pPr>
            <w:r>
              <w:t xml:space="preserve">21%</w:t>
            </w:r>
          </w:p>
        </w:tc>
      </w:tr>
      <w:tr>
        <w:tc>
          <w:tcPr/>
          <w:p>
            <w:pPr>
              <w:pStyle w:val="Compact"/>
              <w:jc w:val="left"/>
            </w:pPr>
            <w:r>
              <w:t xml:space="preserve">2</w:t>
            </w:r>
          </w:p>
        </w:tc>
        <w:tc>
          <w:tcPr/>
          <w:p>
            <w:pPr>
              <w:pStyle w:val="Compact"/>
              <w:jc w:val="left"/>
            </w:pPr>
            <w:r>
              <w:rPr>
                <w:bCs/>
                <w:b/>
              </w:rPr>
              <w:t xml:space="preserve">PLC and Robot Controller Programming</w:t>
            </w:r>
            <w:r>
              <w:br/>
            </w:r>
            <w:r>
              <w:t xml:space="preserve"> </w:t>
            </w:r>
            <w:r>
              <w:t xml:space="preserve">Development and implementation of control logic for KUKA KR series robots and Siemens S7-1500 PLC. Integration of vision systems for part recognition and quality inspection.</w:t>
            </w:r>
            <w:r>
              <w:t xml:space="preserve"> </w:t>
            </w:r>
          </w:p>
        </w:tc>
        <w:tc>
          <w:tcPr/>
          <w:p>
            <w:pPr>
              <w:pStyle w:val="Compact"/>
              <w:jc w:val="left"/>
            </w:pPr>
            <w:r>
              <w:t xml:space="preserve">65</w:t>
            </w:r>
          </w:p>
        </w:tc>
        <w:tc>
          <w:tcPr/>
          <w:p>
            <w:pPr>
              <w:pStyle w:val="Compact"/>
              <w:jc w:val="left"/>
            </w:pPr>
            <w:r>
              <w:t xml:space="preserve">95.00</w:t>
            </w:r>
          </w:p>
        </w:tc>
        <w:tc>
          <w:tcPr/>
          <w:p>
            <w:pPr>
              <w:pStyle w:val="Compact"/>
              <w:jc w:val="left"/>
            </w:pPr>
            <w:r>
              <w:t xml:space="preserve">6,175.00</w:t>
            </w:r>
          </w:p>
        </w:tc>
        <w:tc>
          <w:tcPr/>
          <w:p>
            <w:pPr>
              <w:pStyle w:val="Compact"/>
              <w:jc w:val="left"/>
            </w:pPr>
            <w:r>
              <w:t xml:space="preserve">21%</w:t>
            </w:r>
          </w:p>
        </w:tc>
      </w:tr>
      <w:tr>
        <w:tc>
          <w:tcPr/>
          <w:p>
            <w:pPr>
              <w:pStyle w:val="Compact"/>
              <w:jc w:val="left"/>
            </w:pPr>
            <w:r>
              <w:t xml:space="preserve">3</w:t>
            </w:r>
          </w:p>
        </w:tc>
        <w:tc>
          <w:tcPr/>
          <w:p>
            <w:pPr>
              <w:pStyle w:val="Compact"/>
              <w:jc w:val="left"/>
            </w:pPr>
            <w:r>
              <w:rPr>
                <w:bCs/>
                <w:b/>
              </w:rPr>
              <w:t xml:space="preserve">On-Site Installation and Commissioning</w:t>
            </w:r>
            <w:r>
              <w:br/>
            </w:r>
            <w:r>
              <w:t xml:space="preserve"> </w:t>
            </w:r>
            <w:r>
              <w:t xml:space="preserve">Physical installation of robotic equipment at client facility in Madrid. Includes cable routing, sensor calibration, emergency stop testing, and cycle time optimization.</w:t>
            </w:r>
            <w:r>
              <w:t xml:space="preserve"> </w:t>
            </w:r>
          </w:p>
        </w:tc>
        <w:tc>
          <w:tcPr/>
          <w:p>
            <w:pPr>
              <w:pStyle w:val="Compact"/>
              <w:jc w:val="left"/>
            </w:pPr>
            <w:r>
              <w:t xml:space="preserve">32</w:t>
            </w:r>
          </w:p>
        </w:tc>
        <w:tc>
          <w:tcPr/>
          <w:p>
            <w:pPr>
              <w:pStyle w:val="Compact"/>
              <w:jc w:val="left"/>
            </w:pPr>
            <w:r>
              <w:t xml:space="preserve">105.00</w:t>
            </w:r>
          </w:p>
        </w:tc>
        <w:tc>
          <w:tcPr/>
          <w:p>
            <w:pPr>
              <w:pStyle w:val="Compact"/>
              <w:jc w:val="left"/>
            </w:pPr>
            <w:r>
              <w:t xml:space="preserve">3,360.00</w:t>
            </w:r>
          </w:p>
        </w:tc>
        <w:tc>
          <w:tcPr/>
          <w:p>
            <w:pPr>
              <w:pStyle w:val="Compact"/>
              <w:jc w:val="left"/>
            </w:pPr>
            <w:r>
              <w:t xml:space="preserve">21%</w:t>
            </w:r>
          </w:p>
        </w:tc>
      </w:tr>
      <w:tr>
        <w:tc>
          <w:tcPr/>
          <w:p>
            <w:pPr>
              <w:pStyle w:val="Compact"/>
              <w:jc w:val="left"/>
            </w:pPr>
            <w:r>
              <w:t xml:space="preserve">4</w:t>
            </w:r>
          </w:p>
        </w:tc>
        <w:tc>
          <w:tcPr/>
          <w:p>
            <w:pPr>
              <w:pStyle w:val="Compact"/>
              <w:jc w:val="left"/>
            </w:pPr>
            <w:r>
              <w:rPr>
                <w:bCs/>
                <w:b/>
              </w:rPr>
              <w:t xml:space="preserve">Safety System Integration and Validation</w:t>
            </w:r>
            <w:r>
              <w:br/>
            </w:r>
            <w:r>
              <w:t xml:space="preserve"> </w:t>
            </w:r>
            <w:r>
              <w:t xml:space="preserve">Implementation of light curtains, safety scanners, and two-hand control devices. Risk assessment documentation and validation testing per Spanish occupational safety regulations.</w:t>
            </w:r>
            <w:r>
              <w:t xml:space="preserve"> </w:t>
            </w:r>
          </w:p>
        </w:tc>
        <w:tc>
          <w:tcPr/>
          <w:p>
            <w:pPr>
              <w:pStyle w:val="Compact"/>
              <w:jc w:val="left"/>
            </w:pPr>
            <w:r>
              <w:t xml:space="preserve">24</w:t>
            </w:r>
          </w:p>
        </w:tc>
        <w:tc>
          <w:tcPr/>
          <w:p>
            <w:pPr>
              <w:pStyle w:val="Compact"/>
              <w:jc w:val="left"/>
            </w:pPr>
            <w:r>
              <w:t xml:space="preserve">100.00</w:t>
            </w:r>
          </w:p>
        </w:tc>
        <w:tc>
          <w:tcPr/>
          <w:p>
            <w:pPr>
              <w:pStyle w:val="Compact"/>
              <w:jc w:val="left"/>
            </w:pPr>
            <w:r>
              <w:t xml:space="preserve">2,400.00</w:t>
            </w:r>
          </w:p>
        </w:tc>
        <w:tc>
          <w:tcPr/>
          <w:p>
            <w:pPr>
              <w:pStyle w:val="Compact"/>
              <w:jc w:val="left"/>
            </w:pPr>
            <w:r>
              <w:t xml:space="preserve">21%</w:t>
            </w:r>
          </w:p>
        </w:tc>
      </w:tr>
      <w:tr>
        <w:tc>
          <w:tcPr/>
          <w:p>
            <w:pPr>
              <w:pStyle w:val="Compact"/>
              <w:jc w:val="left"/>
            </w:pPr>
            <w:r>
              <w:t xml:space="preserve">5</w:t>
            </w:r>
          </w:p>
        </w:tc>
        <w:tc>
          <w:tcPr/>
          <w:p>
            <w:pPr>
              <w:pStyle w:val="Compact"/>
              <w:jc w:val="left"/>
            </w:pPr>
            <w:r>
              <w:rPr>
                <w:bCs/>
                <w:b/>
              </w:rPr>
              <w:t xml:space="preserve">Technical Documentation and Training</w:t>
            </w:r>
            <w:r>
              <w:br/>
            </w:r>
            <w:r>
              <w:t xml:space="preserve"> </w:t>
            </w:r>
            <w:r>
              <w:t xml:space="preserve">Preparation of operation manuals, maintenance schedules, and troubleshooting guides. Conducted training sessions for client operators and maintenance staff in Madrid facility.</w:t>
            </w:r>
            <w:r>
              <w:t xml:space="preserve"> </w:t>
            </w:r>
          </w:p>
        </w:tc>
        <w:tc>
          <w:tcPr/>
          <w:p>
            <w:pPr>
              <w:pStyle w:val="Compact"/>
              <w:jc w:val="left"/>
            </w:pPr>
            <w:r>
              <w:t xml:space="preserve">16</w:t>
            </w:r>
          </w:p>
        </w:tc>
        <w:tc>
          <w:tcPr/>
          <w:p>
            <w:pPr>
              <w:pStyle w:val="Compact"/>
              <w:jc w:val="left"/>
            </w:pPr>
            <w:r>
              <w:t xml:space="preserve">90.00</w:t>
            </w:r>
          </w:p>
        </w:tc>
        <w:tc>
          <w:tcPr/>
          <w:p>
            <w:pPr>
              <w:pStyle w:val="Compact"/>
              <w:jc w:val="left"/>
            </w:pPr>
            <w:r>
              <w:t xml:space="preserve">1,440.00</w:t>
            </w:r>
          </w:p>
        </w:tc>
        <w:tc>
          <w:tcPr/>
          <w:p>
            <w:pPr>
              <w:pStyle w:val="Compact"/>
              <w:jc w:val="left"/>
            </w:pPr>
            <w:r>
              <w:t xml:space="preserve">21%</w:t>
            </w:r>
          </w:p>
        </w:tc>
      </w:tr>
      <w:tr>
        <w:tc>
          <w:tcPr/>
          <w:p>
            <w:pPr>
              <w:pStyle w:val="Compact"/>
              <w:jc w:val="left"/>
            </w:pPr>
            <w:r>
              <w:t xml:space="preserve">6</w:t>
            </w:r>
          </w:p>
        </w:tc>
        <w:tc>
          <w:tcPr/>
          <w:p>
            <w:pPr>
              <w:pStyle w:val="Compact"/>
              <w:jc w:val="left"/>
            </w:pPr>
            <w:r>
              <w:rPr>
                <w:bCs/>
                <w:b/>
              </w:rPr>
              <w:t xml:space="preserve">Remote Support and System Optimization</w:t>
            </w:r>
            <w:r>
              <w:br/>
            </w:r>
            <w:r>
              <w:t xml:space="preserve"> </w:t>
            </w:r>
            <w:r>
              <w:t xml:space="preserve">Post-commissioning remote assistance, performance monitoring, and fine-tuning of robotic parameters to achieve target throughput rates.</w:t>
            </w:r>
            <w:r>
              <w:t xml:space="preserve"> </w:t>
            </w:r>
          </w:p>
        </w:tc>
        <w:tc>
          <w:tcPr/>
          <w:p>
            <w:pPr>
              <w:pStyle w:val="Compact"/>
              <w:jc w:val="left"/>
            </w:pPr>
            <w:r>
              <w:t xml:space="preserve">12</w:t>
            </w:r>
          </w:p>
        </w:tc>
        <w:tc>
          <w:tcPr/>
          <w:p>
            <w:pPr>
              <w:pStyle w:val="Compact"/>
              <w:jc w:val="left"/>
            </w:pPr>
            <w:r>
              <w:t xml:space="preserve">85.00</w:t>
            </w:r>
          </w:p>
        </w:tc>
        <w:tc>
          <w:tcPr/>
          <w:p>
            <w:pPr>
              <w:pStyle w:val="Compact"/>
              <w:jc w:val="left"/>
            </w:pPr>
            <w:r>
              <w:t xml:space="preserve">1,020.00</w:t>
            </w:r>
          </w:p>
        </w:tc>
        <w:tc>
          <w:tcPr/>
          <w:p>
            <w:pPr>
              <w:pStyle w:val="Compact"/>
              <w:jc w:val="left"/>
            </w:pPr>
            <w:r>
              <w:t xml:space="preserve">21%</w:t>
            </w:r>
          </w:p>
        </w:tc>
      </w:tr>
    </w:tbl>
    <w:p>
      <w:pPr>
        <w:pStyle w:val="BodyText"/>
      </w:pPr>
      <w:r>
        <w:t xml:space="preserve">Subtotal:</w:t>
      </w:r>
      <w:r>
        <w:t xml:space="preserve"> </w:t>
      </w:r>
      <w:r>
        <w:t xml:space="preserve">18,195.00 EUR</w:t>
      </w:r>
    </w:p>
    <w:p>
      <w:pPr>
        <w:pStyle w:val="BodyText"/>
      </w:pPr>
      <w:r>
        <w:t xml:space="preserve">VAT (21% - Spain Standard Rate):</w:t>
      </w:r>
      <w:r>
        <w:t xml:space="preserve"> </w:t>
      </w:r>
      <w:r>
        <w:t xml:space="preserve">3,820.95 EUR</w:t>
      </w:r>
    </w:p>
    <w:p>
      <w:pPr>
        <w:pStyle w:val="BodyText"/>
      </w:pPr>
      <w:r>
        <w:t xml:space="preserve">TOTAL AMOUNT DUE:</w:t>
      </w:r>
      <w:r>
        <w:t xml:space="preserve"> </w:t>
      </w:r>
      <w:r>
        <w:t xml:space="preserve">22,015.95 EUR</w:t>
      </w:r>
    </w:p>
    <w:bookmarkStart w:id="22" w:name="payment-terms-and-conditions"/>
    <w:p>
      <w:pPr>
        <w:pStyle w:val="Heading3"/>
      </w:pPr>
      <w:r>
        <w:t xml:space="preserve">Payment Terms and Conditions:</w:t>
      </w:r>
    </w:p>
    <w:p>
      <w:pPr>
        <w:numPr>
          <w:ilvl w:val="0"/>
          <w:numId w:val="1001"/>
        </w:numPr>
        <w:pStyle w:val="Compact"/>
      </w:pPr>
      <w:r>
        <w:t xml:space="preserve">Payment is due within 30 days from the date of this invoice.</w:t>
      </w:r>
    </w:p>
    <w:p>
      <w:pPr>
        <w:numPr>
          <w:ilvl w:val="0"/>
          <w:numId w:val="1001"/>
        </w:numPr>
        <w:pStyle w:val="Compact"/>
      </w:pPr>
      <w:r>
        <w:t xml:space="preserve">Please reference Invoice Number INV-2024-0892 with all payments.</w:t>
      </w:r>
    </w:p>
    <w:p>
      <w:pPr>
        <w:numPr>
          <w:ilvl w:val="0"/>
          <w:numId w:val="1001"/>
        </w:numPr>
        <w:pStyle w:val="Compact"/>
      </w:pPr>
      <w:r>
        <w:t xml:space="preserve">Late payments will incur interest at the rate prescribed by Spanish law (Ley 3/2004).</w:t>
      </w:r>
    </w:p>
    <w:p>
      <w:pPr>
        <w:numPr>
          <w:ilvl w:val="0"/>
          <w:numId w:val="1001"/>
        </w:numPr>
        <w:pStyle w:val="Compact"/>
      </w:pPr>
      <w:r>
        <w:t xml:space="preserve">All services are subject to the general terms and conditions of Madrid Robotics Solutions S.L.</w:t>
      </w:r>
    </w:p>
    <w:bookmarkEnd w:id="22"/>
    <w:bookmarkStart w:id="23" w:name="bank-transfer-details"/>
    <w:p>
      <w:pPr>
        <w:pStyle w:val="Heading3"/>
      </w:pPr>
      <w:r>
        <w:t xml:space="preserve">Bank Transfer Details:</w:t>
      </w:r>
    </w:p>
    <w:p>
      <w:pPr>
        <w:pStyle w:val="FirstParagraph"/>
      </w:pPr>
      <w:r>
        <w:rPr>
          <w:bCs/>
          <w:b/>
        </w:rPr>
        <w:t xml:space="preserve">Bank:</w:t>
      </w:r>
      <w:r>
        <w:t xml:space="preserve"> </w:t>
      </w:r>
      <w:r>
        <w:t xml:space="preserve">Banco Santander S.A.</w:t>
      </w:r>
      <w:r>
        <w:br/>
      </w:r>
      <w:r>
        <w:rPr>
          <w:bCs/>
          <w:b/>
        </w:rPr>
        <w:t xml:space="preserve">Account Holder:</w:t>
      </w:r>
      <w:r>
        <w:t xml:space="preserve"> </w:t>
      </w:r>
      <w:r>
        <w:t xml:space="preserve">Madrid Robotics Solutions S.L.</w:t>
      </w:r>
      <w:r>
        <w:br/>
      </w:r>
      <w:r>
        <w:rPr>
          <w:bCs/>
          <w:b/>
        </w:rPr>
        <w:t xml:space="preserve">IBAN:</w:t>
      </w:r>
      <w:r>
        <w:t xml:space="preserve"> </w:t>
      </w:r>
      <w:r>
        <w:t xml:space="preserve">ES91 2100 0418 4502 0005 1332</w:t>
      </w:r>
      <w:r>
        <w:br/>
      </w:r>
      <w:r>
        <w:rPr>
          <w:bCs/>
          <w:b/>
        </w:rPr>
        <w:t xml:space="preserve">BIC/SWIFT:</w:t>
      </w:r>
      <w:r>
        <w:t xml:space="preserve"> </w:t>
      </w:r>
      <w:r>
        <w:t xml:space="preserve">BSCHESMMXXX</w:t>
      </w:r>
      <w:r>
        <w:br/>
      </w:r>
      <w:r>
        <w:rPr>
          <w:bCs/>
          <w:b/>
        </w:rPr>
        <w:t xml:space="preserve">Address:</w:t>
      </w:r>
      <w:r>
        <w:t xml:space="preserve"> </w:t>
      </w:r>
      <w:r>
        <w:t xml:space="preserve">Calle de Alcalá, 123, 28009 Madrid, Spain</w:t>
      </w:r>
    </w:p>
    <w:bookmarkEnd w:id="23"/>
    <w:bookmarkStart w:id="24" w:name="service-guarantee"/>
    <w:p>
      <w:pPr>
        <w:pStyle w:val="Heading3"/>
      </w:pPr>
      <w:r>
        <w:t xml:space="preserve">Service Guarantee:</w:t>
      </w:r>
    </w:p>
    <w:p>
      <w:pPr>
        <w:pStyle w:val="FirstParagraph"/>
      </w:pPr>
      <w:r>
        <w:t xml:space="preserve">All robotics engineering services provided under this invoice are guaranteed for a period of 12 months from the date of final commissioning. This guarantee covers defects in programming, system integration, and workmanship. It does not cover damage resulting from misuse, unauthorized modifications, or normal wear and tear.</w:t>
      </w:r>
    </w:p>
    <w:bookmarkEnd w:id="24"/>
    <w:p>
      <w:pPr>
        <w:pStyle w:val="BodyText"/>
      </w:pPr>
      <w:r>
        <w:t xml:space="preserve">This is a computer-generated invoice and does not require a signature. Madrid Robotics Solutions S.L. is registered in the Mercantile Registry of Madrid, Volume 45678, Sheet M-123456, Folio 78.</w:t>
      </w:r>
    </w:p>
    <w:p>
      <w:pPr>
        <w:pStyle w:val="BodyText"/>
      </w:pPr>
      <w:r>
        <w:t xml:space="preserve">Thank you for your business. We look forward to continuing our partnership in advancing robotics and automation solutions in Spain.</w:t>
      </w:r>
    </w:p>
    <w:p>
      <w:pPr>
        <w:pStyle w:val="BodyText"/>
      </w:pPr>
      <w:r>
        <w:rPr>
          <w:bCs/>
          <w:b/>
        </w:rPr>
        <w:t xml:space="preserve">Madrid Robotics Solutions S.L.</w:t>
      </w:r>
      <w:r>
        <w:t xml:space="preserve"> </w:t>
      </w:r>
      <w:r>
        <w:t xml:space="preserve">| Robotics Engineering &amp; Automation | 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2026-10-10T06:51:51Z</dcterms:created>
  <dcterms:modified xsi:type="dcterms:W3CDTF">2026-10-10T06:51:51Z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