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pex-robotics-solutions"/>
    <w:p>
      <w:pPr>
        <w:pStyle w:val="Heading1"/>
      </w:pPr>
      <w:r>
        <w:t xml:space="preserve">Apex Robotics Solutions</w:t>
      </w:r>
    </w:p>
    <w:p>
      <w:pPr>
        <w:pStyle w:val="FirstParagraph"/>
      </w:pPr>
      <w:r>
        <w:t xml:space="preserve">Advanced Automation &amp; Engineering</w:t>
      </w:r>
    </w:p>
    <w:p>
      <w:pPr>
        <w:pStyle w:val="BodyText"/>
      </w:pPr>
      <w:r>
        <w:t xml:space="preserve">123 Innovation Drive, Suite 400</w:t>
      </w:r>
    </w:p>
    <w:p>
      <w:pPr>
        <w:pStyle w:val="BodyText"/>
      </w:pPr>
      <w:r>
        <w:t xml:space="preserve">Brooklyn, NY 11201</w:t>
      </w:r>
    </w:p>
    <w:p>
      <w:pPr>
        <w:pStyle w:val="BodyText"/>
      </w:pPr>
      <w:r>
        <w:t xml:space="preserve">United States</w:t>
      </w:r>
    </w:p>
    <w:p>
      <w:pPr>
        <w:pStyle w:val="BodyText"/>
      </w:pPr>
      <w:r>
        <w:t xml:space="preserve">Tel: (212) 555-0199</w:t>
      </w:r>
    </w:p>
    <w:p>
      <w:pPr>
        <w:pStyle w:val="BodyText"/>
      </w:pPr>
      <w:r>
        <w:t xml:space="preserve">Email: billing@apexrobotics.com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INV-2023-ROB-8842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Manhattan Industrial Logistics Corp.</w:t>
      </w:r>
    </w:p>
    <w:p>
      <w:pPr>
        <w:pStyle w:val="BodyText"/>
      </w:pPr>
      <w:r>
        <w:t xml:space="preserve">Attn: Procurement Department</w:t>
      </w:r>
    </w:p>
    <w:p>
      <w:pPr>
        <w:pStyle w:val="BodyText"/>
      </w:pPr>
      <w:r>
        <w:t xml:space="preserve">450 West 33rd Street, Floor 12</w:t>
      </w:r>
    </w:p>
    <w:p>
      <w:pPr>
        <w:pStyle w:val="BodyText"/>
      </w:pPr>
      <w:r>
        <w:t xml:space="preserve">New York, NY 10001</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Automated Warehouse Integration Phase II</w:t>
      </w:r>
    </w:p>
    <w:p>
      <w:pPr>
        <w:pStyle w:val="BodyText"/>
      </w:pPr>
      <w:r>
        <w:rPr>
          <w:bCs/>
          <w:b/>
        </w:rPr>
        <w:t xml:space="preserve">Location:</w:t>
      </w:r>
      <w:r>
        <w:t xml:space="preserve"> </w:t>
      </w:r>
      <w:r>
        <w:t xml:space="preserve">Queens Distribution Center, NY</w:t>
      </w:r>
    </w:p>
    <w:p>
      <w:pPr>
        <w:pStyle w:val="BodyText"/>
      </w:pPr>
      <w:r>
        <w:rPr>
          <w:bCs/>
          <w:b/>
        </w:rPr>
        <w:t xml:space="preserve">Service Provider:</w:t>
      </w:r>
      <w:r>
        <w:t xml:space="preserve"> </w:t>
      </w:r>
      <w:r>
        <w:t xml:space="preserve">Senior Robotics Engineer</w:t>
      </w:r>
    </w:p>
    <w:p>
      <w:pPr>
        <w:pStyle w:val="BodyText"/>
      </w:pPr>
      <w:r>
        <w:rPr>
          <w:bCs/>
          <w:b/>
        </w:rPr>
        <w:t xml:space="preserve">Contract Ref:</w:t>
      </w:r>
      <w:r>
        <w:t xml:space="preserve"> </w:t>
      </w:r>
      <w:r>
        <w:t xml:space="preserve">NY-ROB-2023-Q4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existing warehouse infrastructure in New York City. Development of a scalable robotics architecture for autonomous mobile robots (AMRs). This includes site surveys, latency analysis for local networks, and power grid assessment to ensure compliance with NYC electrical codes.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ROS2 Middleware Implementation</w:t>
            </w:r>
            <w:r>
              <w:br/>
            </w:r>
            <w:r>
              <w:t xml:space="preserve">Deployment of Robot Operating System 2 (ROS2) Humble Hawksbill on the fleet of 15 units. Configuration of DDS (Data Distribution Service) for low-latency communication between robots and the central control server. Optimization of node graphs for real-time path planning in high-density environments.</w:t>
            </w:r>
          </w:p>
        </w:tc>
        <w:tc>
          <w:tcPr/>
          <w:p>
            <w:pPr>
              <w:pStyle w:val="Compact"/>
              <w:jc w:val="left"/>
            </w:pPr>
            <w:r>
              <w:t xml:space="preserve">65.0</w:t>
            </w:r>
          </w:p>
        </w:tc>
        <w:tc>
          <w:tcPr/>
          <w:p>
            <w:pPr>
              <w:pStyle w:val="Compact"/>
              <w:jc w:val="left"/>
            </w:pPr>
            <w:r>
              <w:t xml:space="preserve">$175.00</w:t>
            </w:r>
          </w:p>
        </w:tc>
        <w:tc>
          <w:tcPr/>
          <w:p>
            <w:pPr>
              <w:pStyle w:val="Compact"/>
              <w:jc w:val="left"/>
            </w:pPr>
            <w:r>
              <w:t xml:space="preserve">$11,375.00</w:t>
            </w:r>
          </w:p>
        </w:tc>
      </w:tr>
      <w:tr>
        <w:tc>
          <w:tcPr/>
          <w:p>
            <w:pPr>
              <w:pStyle w:val="Compact"/>
              <w:jc w:val="left"/>
            </w:pPr>
            <w:r>
              <w:t xml:space="preserve">3</w:t>
            </w:r>
          </w:p>
        </w:tc>
        <w:tc>
          <w:tcPr/>
          <w:p>
            <w:pPr>
              <w:pStyle w:val="Compact"/>
              <w:jc w:val="left"/>
            </w:pPr>
            <w:r>
              <w:rPr>
                <w:bCs/>
                <w:b/>
              </w:rPr>
              <w:t xml:space="preserve">Sensor Fusion &amp; SLAM Calibration</w:t>
            </w:r>
            <w:r>
              <w:br/>
            </w:r>
            <w:r>
              <w:t xml:space="preserve">Integration of LiDAR, IMU, and stereo camera data streams. Tuning of Simultaneous Localization and Mapping (SLAM) algorithms to account for the dynamic lighting and structural nuances of the client's facility. Ensuring precise mapping accuracy within a 2cm margin of error.</w:t>
            </w:r>
          </w:p>
        </w:tc>
        <w:tc>
          <w:tcPr/>
          <w:p>
            <w:pPr>
              <w:pStyle w:val="Compact"/>
              <w:jc w:val="left"/>
            </w:pPr>
            <w:r>
              <w:t xml:space="preserve">50.0</w:t>
            </w:r>
          </w:p>
        </w:tc>
        <w:tc>
          <w:tcPr/>
          <w:p>
            <w:pPr>
              <w:pStyle w:val="Compact"/>
              <w:jc w:val="left"/>
            </w:pPr>
            <w:r>
              <w:t xml:space="preserve">$175.00</w:t>
            </w:r>
          </w:p>
        </w:tc>
        <w:tc>
          <w:tcPr/>
          <w:p>
            <w:pPr>
              <w:pStyle w:val="Compact"/>
              <w:jc w:val="left"/>
            </w:pPr>
            <w:r>
              <w:t xml:space="preserve">$8,750.00</w:t>
            </w:r>
          </w:p>
        </w:tc>
      </w:tr>
      <w:tr>
        <w:tc>
          <w:tcPr/>
          <w:p>
            <w:pPr>
              <w:pStyle w:val="Compact"/>
              <w:jc w:val="left"/>
            </w:pPr>
            <w:r>
              <w:t xml:space="preserve">4</w:t>
            </w:r>
          </w:p>
        </w:tc>
        <w:tc>
          <w:tcPr/>
          <w:p>
            <w:pPr>
              <w:pStyle w:val="Compact"/>
              <w:jc w:val="left"/>
            </w:pPr>
            <w:r>
              <w:rPr>
                <w:bCs/>
                <w:b/>
              </w:rPr>
              <w:t xml:space="preserve">Safety Protocol Development (ANSI/RIA R15.08)</w:t>
            </w:r>
            <w:r>
              <w:br/>
            </w:r>
            <w:r>
              <w:t xml:space="preserve">Engineering of collision avoidance systems and emergency stop logic. Implementation of virtual safety zones and speed reduction algorithms compliant with ANSI/RIA R15.08 standards for industrial robot safety. Documentation of safety interlocks for regulatory review.</w:t>
            </w:r>
          </w:p>
        </w:tc>
        <w:tc>
          <w:tcPr/>
          <w:p>
            <w:pPr>
              <w:pStyle w:val="Compact"/>
              <w:jc w:val="left"/>
            </w:pPr>
            <w:r>
              <w:t xml:space="preserve">35.0</w:t>
            </w:r>
          </w:p>
        </w:tc>
        <w:tc>
          <w:tcPr/>
          <w:p>
            <w:pPr>
              <w:pStyle w:val="Compact"/>
              <w:jc w:val="left"/>
            </w:pPr>
            <w:r>
              <w:t xml:space="preserve">$175.00</w:t>
            </w:r>
          </w:p>
        </w:tc>
        <w:tc>
          <w:tcPr/>
          <w:p>
            <w:pPr>
              <w:pStyle w:val="Compact"/>
              <w:jc w:val="left"/>
            </w:pPr>
            <w:r>
              <w:t xml:space="preserve">$6,125.00</w:t>
            </w:r>
          </w:p>
        </w:tc>
      </w:tr>
      <w:tr>
        <w:tc>
          <w:tcPr/>
          <w:p>
            <w:pPr>
              <w:pStyle w:val="Compact"/>
              <w:jc w:val="left"/>
            </w:pPr>
            <w:r>
              <w:t xml:space="preserve">5</w:t>
            </w:r>
          </w:p>
        </w:tc>
        <w:tc>
          <w:tcPr/>
          <w:p>
            <w:pPr>
              <w:pStyle w:val="Compact"/>
              <w:jc w:val="left"/>
            </w:pPr>
            <w:r>
              <w:rPr>
                <w:bCs/>
                <w:b/>
              </w:rPr>
              <w:t xml:space="preserve">On-Site Integration &amp; Commissioning</w:t>
            </w:r>
            <w:r>
              <w:br/>
            </w:r>
            <w:r>
              <w:t xml:space="preserve">Physical deployment of control units at the Queens facility. Real-time debugging of kinematic chains and actuator responses. Coordination with local electricians and facility managers to ensure seamless integration with the building's existing HVAC and security systems.</w:t>
            </w:r>
          </w:p>
        </w:tc>
        <w:tc>
          <w:tcPr/>
          <w:p>
            <w:pPr>
              <w:pStyle w:val="Compact"/>
              <w:jc w:val="left"/>
            </w:pPr>
            <w:r>
              <w:t xml:space="preserve">20.0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Creation of detailed API documentation for the Robotics Engineer handover. Development of standard operating procedures (SOPs) for the client's maintenance staff. Conducting a 4-hour training session on system monitoring and basic troubleshooting.</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$39,750.00</w:t>
      </w:r>
    </w:p>
    <w:p>
      <w:pPr>
        <w:pStyle w:val="BodyText"/>
      </w:pPr>
      <w:r>
        <w:t xml:space="preserve">NY State Sales Tax (8.875%):</w:t>
      </w:r>
      <w:r>
        <w:t xml:space="preserve"> </w:t>
      </w:r>
      <w:r>
        <w:t xml:space="preserve">$3,528.81</w:t>
      </w:r>
    </w:p>
    <w:p>
      <w:pPr>
        <w:pStyle w:val="BodyText"/>
      </w:pPr>
      <w:r>
        <w:t xml:space="preserve">NYC Local Tax Adjustment:</w:t>
      </w:r>
      <w:r>
        <w:t xml:space="preserve"> </w:t>
      </w:r>
      <w:r>
        <w:t xml:space="preserve">$0.00</w:t>
      </w:r>
    </w:p>
    <w:p>
      <w:pPr>
        <w:pStyle w:val="BodyText"/>
      </w:pPr>
      <w:r>
        <w:t xml:space="preserve">TOTAL DUE:</w:t>
      </w:r>
      <w:r>
        <w:t xml:space="preserve"> </w:t>
      </w:r>
      <w:r>
        <w:t xml:space="preserve">$43,278.81</w:t>
      </w:r>
    </w:p>
    <w:bookmarkStart w:id="24" w:name="payment-instructions"/>
    <w:p>
      <w:pPr>
        <w:pStyle w:val="Heading4"/>
      </w:pPr>
      <w:r>
        <w:t xml:space="preserve">Payment Instructions</w:t>
      </w:r>
    </w:p>
    <w:p>
      <w:pPr>
        <w:pStyle w:val="FirstParagraph"/>
      </w:pPr>
      <w:r>
        <w:t xml:space="preserve">Please remit payment via wire transfer or ACH to the following account:</w:t>
      </w:r>
    </w:p>
    <w:p>
      <w:pPr>
        <w:pStyle w:val="BodyText"/>
      </w:pPr>
      <w:r>
        <w:rPr>
          <w:bCs/>
          <w:b/>
        </w:rPr>
        <w:t xml:space="preserve">Bank Name:</w:t>
      </w:r>
      <w:r>
        <w:t xml:space="preserve"> </w:t>
      </w:r>
      <w:r>
        <w:t xml:space="preserve">Chase Manhattan Bank</w:t>
      </w:r>
      <w:r>
        <w:br/>
      </w:r>
      <w:r>
        <w:rPr>
          <w:bCs/>
          <w:b/>
        </w:rPr>
        <w:t xml:space="preserve">Account Name:</w:t>
      </w:r>
      <w:r>
        <w:t xml:space="preserve"> </w:t>
      </w:r>
      <w:r>
        <w:t xml:space="preserve">Apex Robotics Solutions LLC</w:t>
      </w:r>
      <w:r>
        <w:br/>
      </w:r>
      <w:r>
        <w:rPr>
          <w:bCs/>
          <w:b/>
        </w:rPr>
        <w:t xml:space="preserve">Account Number:</w:t>
      </w:r>
      <w:r>
        <w:t xml:space="preserve"> </w:t>
      </w:r>
      <w:r>
        <w:t xml:space="preserve">**** **** 4589</w:t>
      </w:r>
      <w:r>
        <w:br/>
      </w:r>
      <w:r>
        <w:rPr>
          <w:bCs/>
          <w:b/>
        </w:rPr>
        <w:t xml:space="preserve">Routing Number:</w:t>
      </w:r>
      <w:r>
        <w:t xml:space="preserve"> </w:t>
      </w:r>
      <w:r>
        <w:t xml:space="preserve">021000021</w:t>
      </w:r>
      <w:r>
        <w:br/>
      </w:r>
      <w:r>
        <w:rPr>
          <w:bCs/>
          <w:b/>
        </w:rPr>
        <w:t xml:space="preserve">Reference:</w:t>
      </w:r>
      <w:r>
        <w:t xml:space="preserve"> </w:t>
      </w:r>
      <w:r>
        <w:t xml:space="preserve">INV-2023-ROB-8842</w:t>
      </w:r>
    </w:p>
    <w:p>
      <w:pPr>
        <w:pStyle w:val="BodyText"/>
      </w:pPr>
      <w:r>
        <w:t xml:space="preserve">Checks should be made payable to "Apex Robotics Solutions" and mailed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Any amount not paid by the due date will be subject to a late fee of 1.5% per month on the outstanding balance, in accordance with New York State commercial law.</w:t>
      </w:r>
      <w:r>
        <w:br/>
      </w:r>
      <w:r>
        <w:t xml:space="preserve">2.</w:t>
      </w:r>
      <w:r>
        <w:t xml:space="preserve"> </w:t>
      </w:r>
      <w:r>
        <w:rPr>
          <w:bCs/>
          <w:b/>
        </w:rPr>
        <w:t xml:space="preserve">Intellectual Property:</w:t>
      </w:r>
      <w:r>
        <w:t xml:space="preserve"> </w:t>
      </w:r>
      <w:r>
        <w:t xml:space="preserve">All custom code, algorithms, and engineering designs developed by the Robotics Engineer for this project remain the property of Apex Robotics Solutions until full payment is received. Upon payment, a perpetual license is granted to the client.</w:t>
      </w:r>
      <w:r>
        <w:br/>
      </w:r>
      <w:r>
        <w:t xml:space="preserve">3.</w:t>
      </w:r>
      <w:r>
        <w:t xml:space="preserve"> </w:t>
      </w:r>
      <w:r>
        <w:rPr>
          <w:bCs/>
          <w:b/>
        </w:rPr>
        <w:t xml:space="preserve">Warranty:</w:t>
      </w:r>
      <w:r>
        <w:t xml:space="preserve"> </w:t>
      </w:r>
      <w:r>
        <w:t xml:space="preserve">Services are warranted for 90 days from the date of invoice. This warranty covers defects in engineering logic and software implementation but does not cover hardware failures or damage caused by misuse.</w:t>
      </w:r>
      <w:r>
        <w:br/>
      </w:r>
      <w:r>
        <w:t xml:space="preserve">4.</w:t>
      </w:r>
      <w:r>
        <w:t xml:space="preserve"> </w:t>
      </w:r>
      <w:r>
        <w:rPr>
          <w:bCs/>
          <w:b/>
        </w:rPr>
        <w:t xml:space="preserve">Governing Law:</w:t>
      </w:r>
      <w:r>
        <w:t xml:space="preserve"> </w:t>
      </w:r>
      <w:r>
        <w:t xml:space="preserve">This Invoice and the services described herein are governed by the laws of the State of New York. Any disputes shall be resolved in the courts of New York County.</w:t>
      </w:r>
      <w:r>
        <w:br/>
      </w:r>
      <w:r>
        <w:t xml:space="preserve">5.</w:t>
      </w:r>
      <w:r>
        <w:t xml:space="preserve"> </w:t>
      </w:r>
      <w:r>
        <w:rPr>
          <w:bCs/>
          <w:b/>
        </w:rPr>
        <w:t xml:space="preserve">Scope:</w:t>
      </w:r>
      <w:r>
        <w:t xml:space="preserve"> </w:t>
      </w:r>
      <w:r>
        <w:t xml:space="preserve">This invoice covers the specific line items listed above. Additional services requested during the project lifecycle will be billed separately via a Change Order.</w:t>
      </w:r>
    </w:p>
    <w:bookmarkEnd w:id="25"/>
    <w:p>
      <w:pPr>
        <w:pStyle w:val="BodyText"/>
      </w:pPr>
      <w:r>
        <w:t xml:space="preserve">Authorized Signature (Provider)</w:t>
      </w:r>
      <w:r>
        <w:br/>
      </w:r>
      <w:r>
        <w:rPr>
          <w:iCs/>
          <w:i/>
        </w:rPr>
        <w:t xml:space="preserve">J. Doe, Lead Robotics Engineer</w:t>
      </w:r>
    </w:p>
    <w:p>
      <w:pPr>
        <w:pStyle w:val="BodyText"/>
      </w:pPr>
      <w:r>
        <w:t xml:space="preserve">Received By (Client)</w:t>
      </w:r>
      <w:r>
        <w:br/>
      </w:r>
      <w:r>
        <w:rPr>
          <w:iCs/>
          <w:i/>
        </w:rPr>
        <w:t xml:space="preserve">Date: _______________</w:t>
      </w:r>
    </w:p>
    <w:p>
      <w:pPr>
        <w:pStyle w:val="BodyText"/>
      </w:pPr>
      <w:r>
        <w:t xml:space="preserve">Apex Robotics Solutions LLC | EIN: 12-3456789 | Registered in New York, United States</w:t>
      </w:r>
    </w:p>
    <w:p>
      <w:pPr>
        <w:pStyle w:val="BodyText"/>
      </w:pPr>
      <w:r>
        <w:t xml:space="preserve">Thank you for your business. We look forward to continuing our partnership in advancing automation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