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tashkent-robotics-solutions"/>
    <w:p>
      <w:pPr>
        <w:pStyle w:val="Heading1"/>
      </w:pPr>
      <w:r>
        <w:t xml:space="preserve">Tashkent Robotics Solutions</w:t>
      </w:r>
    </w:p>
    <w:p>
      <w:pPr>
        <w:pStyle w:val="FirstParagraph"/>
      </w:pPr>
      <w:r>
        <w:t xml:space="preserve">Advanced Automation &amp; Engineering</w:t>
      </w:r>
    </w:p>
    <w:p>
      <w:pPr>
        <w:pStyle w:val="BodyText"/>
      </w:pPr>
      <w:r>
        <w:t xml:space="preserve">123 Amir Temur Avenue, Yunusabad District</w:t>
      </w:r>
    </w:p>
    <w:p>
      <w:pPr>
        <w:pStyle w:val="BodyText"/>
      </w:pPr>
      <w:r>
        <w:t xml:space="preserve">Tashkent, Uzbekistan 100000</w:t>
      </w:r>
    </w:p>
    <w:p>
      <w:pPr>
        <w:pStyle w:val="BodyText"/>
      </w:pPr>
      <w:r>
        <w:t xml:space="preserve">Tax ID (JSHSHIR): 2019000000000</w:t>
      </w:r>
    </w:p>
    <w:p>
      <w:pPr>
        <w:pStyle w:val="BodyText"/>
      </w:pPr>
      <w:r>
        <w:t xml:space="preserve">Email: billing@tashkentrobotics.uz</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Silk Road Industrial Automation LLC</w:t>
      </w:r>
    </w:p>
    <w:p>
      <w:pPr>
        <w:pStyle w:val="BodyText"/>
      </w:pPr>
      <w:r>
        <w:t xml:space="preserve">Attn: Procurement Department</w:t>
      </w:r>
    </w:p>
    <w:p>
      <w:pPr>
        <w:pStyle w:val="BodyText"/>
      </w:pPr>
      <w:r>
        <w:t xml:space="preserve">45 Industrial Zone, Chilonzor District</w:t>
      </w:r>
    </w:p>
    <w:p>
      <w:pPr>
        <w:pStyle w:val="BodyText"/>
      </w:pPr>
      <w:r>
        <w:t xml:space="preserve">Tashkent, Uzbekistan 100100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INV-TK-2023-089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TRS-AUTO-LINE-V2</w:t>
      </w:r>
    </w:p>
    <w:bookmarkEnd w:id="23"/>
    <w:p>
      <w:pPr>
        <w:pStyle w:val="BodyText"/>
      </w:pPr>
      <w:r>
        <w:t xml:space="preserve">This Invoice serves as a formal request for payment for the professional services rendered by our lead Robotics Engineer regarding the automation upgrade of your manufacturing facility in Tashkent. The following items detail the engineering hours, technical consulting, and specialized hardware integration performed in accordance with the contract signed on September 1,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rPr>
                <w:bCs/>
                <w:b/>
              </w:rPr>
              <w:t xml:space="preserve">Robotics System Architecture Design</w:t>
            </w:r>
            <w:r>
              <w:br/>
            </w:r>
            <w:r>
              <w:t xml:space="preserve"> </w:t>
            </w:r>
            <w:r>
              <w:t xml:space="preserve">Comprehensive planning of the robotic cell layout for the assembly line. This includes kinematic analysis, workspace simulation using ROS (Robot Operating System), and safety zone calculations compliant with Uzbekistan industrial safety standards.</w:t>
            </w:r>
            <w:r>
              <w:t xml:space="preserve"> </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rPr>
                <w:bCs/>
                <w:b/>
              </w:rPr>
              <w:t xml:space="preserve">Embedded Systems Programming &amp; Firmware Development</w:t>
            </w:r>
            <w:r>
              <w:br/>
            </w:r>
            <w:r>
              <w:t xml:space="preserve"> </w:t>
            </w:r>
            <w:r>
              <w:t xml:space="preserve">Custom C++ and Python coding for microcontroller units (MCUs) controlling robotic actuators. Implementation of PID control loops for precision movement and integration of sensor feedback systems (LiDAR and Ultrasonic) for obstacle avoidance.</w:t>
            </w:r>
            <w:r>
              <w:t xml:space="preserve"> </w:t>
            </w:r>
          </w:p>
        </w:tc>
        <w:tc>
          <w:tcPr/>
          <w:p>
            <w:pPr>
              <w:pStyle w:val="Compact"/>
              <w:jc w:val="left"/>
            </w:pPr>
            <w:r>
              <w:t xml:space="preserve">60 Hours</w:t>
            </w:r>
          </w:p>
        </w:tc>
        <w:tc>
          <w:tcPr/>
          <w:p>
            <w:pPr>
              <w:pStyle w:val="Compact"/>
              <w:jc w:val="left"/>
            </w:pPr>
            <w:r>
              <w:t xml:space="preserve">250,000</w:t>
            </w:r>
          </w:p>
        </w:tc>
        <w:tc>
          <w:tcPr/>
          <w:p>
            <w:pPr>
              <w:pStyle w:val="Compact"/>
              <w:jc w:val="left"/>
            </w:pPr>
            <w:r>
              <w:t xml:space="preserve">15,000,000</w:t>
            </w:r>
          </w:p>
        </w:tc>
      </w:tr>
      <w:tr>
        <w:tc>
          <w:tcPr/>
          <w:p>
            <w:pPr>
              <w:pStyle w:val="Compact"/>
              <w:jc w:val="left"/>
            </w:pPr>
            <w:r>
              <w:rPr>
                <w:bCs/>
                <w:b/>
              </w:rPr>
              <w:t xml:space="preserve">Hardware Integration &amp; On-Site Installation</w:t>
            </w:r>
            <w:r>
              <w:br/>
            </w:r>
            <w:r>
              <w:t xml:space="preserve"> </w:t>
            </w:r>
            <w:r>
              <w:t xml:space="preserve">Physical installation of robotic arms and conveyor interfaces at the Tashkent facility. Wiring of power distribution units, calibration of end-effectors, and synchronization of robotic movements with existing PLC systems.</w:t>
            </w:r>
            <w:r>
              <w:t xml:space="preserve"> </w:t>
            </w:r>
          </w:p>
        </w:tc>
        <w:tc>
          <w:tcPr/>
          <w:p>
            <w:pPr>
              <w:pStyle w:val="Compact"/>
              <w:jc w:val="left"/>
            </w:pPr>
            <w:r>
              <w:t xml:space="preserve">20 Hours</w:t>
            </w:r>
          </w:p>
        </w:tc>
        <w:tc>
          <w:tcPr/>
          <w:p>
            <w:pPr>
              <w:pStyle w:val="Compact"/>
              <w:jc w:val="left"/>
            </w:pPr>
            <w:r>
              <w:t xml:space="preserve">300,000</w:t>
            </w:r>
          </w:p>
        </w:tc>
        <w:tc>
          <w:tcPr/>
          <w:p>
            <w:pPr>
              <w:pStyle w:val="Compact"/>
              <w:jc w:val="left"/>
            </w:pPr>
            <w:r>
              <w:t xml:space="preserve">6,000,000</w:t>
            </w:r>
          </w:p>
        </w:tc>
      </w:tr>
      <w:tr>
        <w:tc>
          <w:tcPr/>
          <w:p>
            <w:pPr>
              <w:pStyle w:val="Compact"/>
              <w:jc w:val="left"/>
            </w:pPr>
            <w:r>
              <w:rPr>
                <w:bCs/>
                <w:b/>
              </w:rPr>
              <w:t xml:space="preserve">Computer Vision Implementation</w:t>
            </w:r>
            <w:r>
              <w:br/>
            </w:r>
            <w:r>
              <w:t xml:space="preserve"> </w:t>
            </w:r>
            <w:r>
              <w:t xml:space="preserve">Development of object recognition algorithms using OpenCV to enable the robotics engineer's system to identify and sort components. Training of neural networks on local production data to ensure high accuracy in low-light factory conditions.</w:t>
            </w:r>
            <w:r>
              <w:t xml:space="preserve"> </w:t>
            </w:r>
          </w:p>
        </w:tc>
        <w:tc>
          <w:tcPr/>
          <w:p>
            <w:pPr>
              <w:pStyle w:val="Compact"/>
              <w:jc w:val="left"/>
            </w:pPr>
            <w:r>
              <w:t xml:space="preserve">30 Hours</w:t>
            </w:r>
          </w:p>
        </w:tc>
        <w:tc>
          <w:tcPr/>
          <w:p>
            <w:pPr>
              <w:pStyle w:val="Compact"/>
              <w:jc w:val="left"/>
            </w:pPr>
            <w:r>
              <w:t xml:space="preserve">275,000</w:t>
            </w:r>
          </w:p>
        </w:tc>
        <w:tc>
          <w:tcPr/>
          <w:p>
            <w:pPr>
              <w:pStyle w:val="Compact"/>
              <w:jc w:val="left"/>
            </w:pPr>
            <w:r>
              <w:t xml:space="preserve">8,250,000</w:t>
            </w:r>
          </w:p>
        </w:tc>
      </w:tr>
      <w:tr>
        <w:tc>
          <w:tcPr/>
          <w:p>
            <w:pPr>
              <w:pStyle w:val="Compact"/>
              <w:jc w:val="left"/>
            </w:pPr>
            <w:r>
              <w:rPr>
                <w:bCs/>
                <w:b/>
              </w:rPr>
              <w:t xml:space="preserve">Testing, Debugging, and Staff Training</w:t>
            </w:r>
            <w:r>
              <w:br/>
            </w:r>
            <w:r>
              <w:t xml:space="preserve"> </w:t>
            </w:r>
            <w:r>
              <w:t xml:space="preserve">Full system stress testing to ensure reliability. Debugging of latency issues in the communication network. Conducting a 4-hour training workshop for your local engineering team in Tashkent on system maintenance and emergency shutdown procedures.</w:t>
            </w:r>
            <w:r>
              <w:t xml:space="preserve"> </w:t>
            </w:r>
          </w:p>
        </w:tc>
        <w:tc>
          <w:tcPr/>
          <w:p>
            <w:pPr>
              <w:pStyle w:val="Compact"/>
              <w:jc w:val="left"/>
            </w:pPr>
            <w:r>
              <w:t xml:space="preserve">15 Hours</w:t>
            </w:r>
          </w:p>
        </w:tc>
        <w:tc>
          <w:tcPr/>
          <w:p>
            <w:pPr>
              <w:pStyle w:val="Compact"/>
              <w:jc w:val="left"/>
            </w:pPr>
            <w:r>
              <w:t xml:space="preserve">250,000</w:t>
            </w:r>
          </w:p>
        </w:tc>
        <w:tc>
          <w:tcPr/>
          <w:p>
            <w:pPr>
              <w:pStyle w:val="Compact"/>
              <w:jc w:val="left"/>
            </w:pPr>
            <w:r>
              <w:t xml:space="preserve">3,750,000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43,000,000 UZS</w:t>
            </w:r>
          </w:p>
        </w:tc>
      </w:tr>
      <w:tr>
        <w:tc>
          <w:tcPr/>
          <w:p>
            <w:pPr>
              <w:pStyle w:val="Compact"/>
              <w:jc w:val="left"/>
            </w:pPr>
            <w:r>
              <w:t xml:space="preserve">VAT (12%):</w:t>
            </w:r>
          </w:p>
        </w:tc>
        <w:tc>
          <w:tcPr/>
          <w:p>
            <w:pPr>
              <w:pStyle w:val="Compact"/>
              <w:jc w:val="left"/>
            </w:pPr>
            <w:r>
              <w:t xml:space="preserve">5,160,000 UZS</w:t>
            </w:r>
          </w:p>
        </w:tc>
      </w:tr>
      <w:tr>
        <w:tc>
          <w:tcPr/>
          <w:p>
            <w:pPr>
              <w:pStyle w:val="Compact"/>
              <w:jc w:val="left"/>
            </w:pPr>
            <w:r>
              <w:t xml:space="preserve">Total Due:</w:t>
            </w:r>
          </w:p>
        </w:tc>
        <w:tc>
          <w:tcPr/>
          <w:p>
            <w:pPr>
              <w:pStyle w:val="Compact"/>
              <w:jc w:val="left"/>
            </w:pPr>
            <w:r>
              <w:t xml:space="preserve">48,160,000 UZS</w:t>
            </w:r>
          </w:p>
        </w:tc>
      </w:tr>
    </w:tbl>
    <w:bookmarkStart w:id="24" w:name="payment-instructions"/>
    <w:p>
      <w:pPr>
        <w:pStyle w:val="Heading4"/>
      </w:pPr>
      <w:r>
        <w:t xml:space="preserve">Payment Instructions</w:t>
      </w:r>
    </w:p>
    <w:p>
      <w:pPr>
        <w:pStyle w:val="FirstParagraph"/>
      </w:pPr>
      <w:r>
        <w:t xml:space="preserve">Please remit payment within 30 days of the invoice date. Payments should be made in Uzbekistan Sum (UZS) via bank transfer to the following account details:</w:t>
      </w:r>
    </w:p>
    <w:p>
      <w:pPr>
        <w:pStyle w:val="BodyText"/>
      </w:pPr>
      <w:r>
        <w:rPr>
          <w:bCs/>
          <w:b/>
        </w:rPr>
        <w:t xml:space="preserve">Bank Name:</w:t>
      </w:r>
      <w:r>
        <w:t xml:space="preserve"> </w:t>
      </w:r>
      <w:r>
        <w:t xml:space="preserve">Amarkon Bank</w:t>
      </w:r>
      <w:r>
        <w:br/>
      </w:r>
      <w:r>
        <w:rPr>
          <w:bCs/>
          <w:b/>
        </w:rPr>
        <w:t xml:space="preserve">Account Name:</w:t>
      </w:r>
      <w:r>
        <w:t xml:space="preserve"> </w:t>
      </w:r>
      <w:r>
        <w:t xml:space="preserve">Tashkent Robotics Solutions LLC</w:t>
      </w:r>
      <w:r>
        <w:br/>
      </w:r>
      <w:r>
        <w:rPr>
          <w:bCs/>
          <w:b/>
        </w:rPr>
        <w:t xml:space="preserve">Account Number:</w:t>
      </w:r>
      <w:r>
        <w:t xml:space="preserve"> </w:t>
      </w:r>
      <w:r>
        <w:t xml:space="preserve">20190000000000000000</w:t>
      </w:r>
      <w:r>
        <w:br/>
      </w:r>
      <w:r>
        <w:rPr>
          <w:bCs/>
          <w:b/>
        </w:rPr>
        <w:t xml:space="preserve">SWIFT Code:</w:t>
      </w:r>
      <w:r>
        <w:t xml:space="preserve"> </w:t>
      </w:r>
      <w:r>
        <w:t xml:space="preserve">AMRKUZ2X</w:t>
      </w:r>
      <w:r>
        <w:br/>
      </w:r>
      <w:r>
        <w:rPr>
          <w:bCs/>
          <w:b/>
        </w:rPr>
        <w:t xml:space="preserve">Reference:</w:t>
      </w:r>
      <w:r>
        <w:t xml:space="preserve"> </w:t>
      </w:r>
      <w:r>
        <w:t xml:space="preserve">INV-TK-2023-089</w:t>
      </w:r>
    </w:p>
    <w:bookmarkEnd w:id="24"/>
    <w:bookmarkStart w:id="25" w:name="terms-and-conditions"/>
    <w:p>
      <w:pPr>
        <w:pStyle w:val="Heading4"/>
      </w:pPr>
      <w:r>
        <w:t xml:space="preserve">Terms and Conditions</w:t>
      </w:r>
    </w:p>
    <w:p>
      <w:pPr>
        <w:numPr>
          <w:ilvl w:val="0"/>
          <w:numId w:val="1001"/>
        </w:numPr>
        <w:pStyle w:val="Compact"/>
      </w:pPr>
      <w:r>
        <w:t xml:space="preserve">Payment is due within 30 days of the invoice date. Late payments may incur a penalty fee of 0.5% per month.</w:t>
      </w:r>
    </w:p>
    <w:p>
      <w:pPr>
        <w:numPr>
          <w:ilvl w:val="0"/>
          <w:numId w:val="1001"/>
        </w:numPr>
        <w:pStyle w:val="Compact"/>
      </w:pPr>
      <w:r>
        <w:t xml:space="preserve">All services provided by the Robotics Engineer are guaranteed for a period of 90 days from the date of completion.</w:t>
      </w:r>
    </w:p>
    <w:p>
      <w:pPr>
        <w:numPr>
          <w:ilvl w:val="0"/>
          <w:numId w:val="1001"/>
        </w:numPr>
        <w:pStyle w:val="Compact"/>
      </w:pPr>
      <w:r>
        <w:t xml:space="preserve">Any additional work requested outside the scope of the original agreement will be billed separately at the standard hourly rate.</w:t>
      </w:r>
    </w:p>
    <w:p>
      <w:pPr>
        <w:numPr>
          <w:ilvl w:val="0"/>
          <w:numId w:val="1001"/>
        </w:numPr>
        <w:pStyle w:val="Compact"/>
      </w:pPr>
      <w:r>
        <w:t xml:space="preserve">This Invoice is issued in accordance with the tax regulations of the Republic of Uzbekistan.</w:t>
      </w:r>
    </w:p>
    <w:p>
      <w:pPr>
        <w:numPr>
          <w:ilvl w:val="0"/>
          <w:numId w:val="1001"/>
        </w:numPr>
        <w:pStyle w:val="Compact"/>
      </w:pPr>
      <w:r>
        <w:t xml:space="preserve">Intellectual property regarding custom code developed for this project remains the property of Silk Road Industrial Automation LLC upon full payment.</w:t>
      </w:r>
    </w:p>
    <w:p>
      <w:pPr>
        <w:pStyle w:val="FirstParagraph"/>
      </w:pPr>
      <w:r>
        <w:t xml:space="preserve">Thank you for choosing Tashkent Robotics Solutions for your automation needs. We are committed to driving technological advancement in Tashkent and across Uzbekistan through superior engineering solutions.</w:t>
      </w:r>
    </w:p>
    <w:bookmarkEnd w:id="25"/>
    <w:p>
      <w:pPr>
        <w:pStyle w:val="BodyText"/>
      </w:pPr>
      <w:r>
        <w:rPr>
          <w:bCs/>
          <w:b/>
        </w:rPr>
        <w:t xml:space="preserve">Authorized Signature</w:t>
      </w:r>
    </w:p>
    <w:p>
      <w:pPr>
        <w:pStyle w:val="BodyText"/>
      </w:pPr>
      <w:r>
        <w:t xml:space="preserve">Alexei Volkov</w:t>
      </w:r>
    </w:p>
    <w:p>
      <w:pPr>
        <w:pStyle w:val="BodyText"/>
      </w:pPr>
      <w:r>
        <w:t xml:space="preserve">Lead Robotics Engineer</w:t>
      </w:r>
    </w:p>
    <w:p>
      <w:pPr>
        <w:pStyle w:val="BodyText"/>
      </w:pPr>
      <w:r>
        <w:t xml:space="preserve">Tashkent Robotics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2026-10-10T04:06:04Z</dcterms:created>
  <dcterms:modified xsi:type="dcterms:W3CDTF">2026-10-10T04:06:04Z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