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business-solutions-ltd."/>
    <w:p>
      <w:pPr>
        <w:pStyle w:val="Heading1"/>
      </w:pPr>
      <w:r>
        <w:t xml:space="preserve">Alexandria Business Solutions Ltd.</w:t>
      </w:r>
    </w:p>
    <w:p>
      <w:pPr>
        <w:pStyle w:val="FirstParagraph"/>
      </w:pPr>
      <w:r>
        <w:t xml:space="preserve">12 Corniche El-Nil Street, Seafront District</w:t>
      </w:r>
    </w:p>
    <w:p>
      <w:pPr>
        <w:pStyle w:val="BodyText"/>
      </w:pPr>
      <w:r>
        <w:t xml:space="preserve">Alexandria, Egypt – 21543</w:t>
      </w:r>
    </w:p>
    <w:p>
      <w:pPr>
        <w:pStyle w:val="BodyText"/>
      </w:pPr>
      <w:r>
        <w:t xml:space="preserve">Tel: +20 3 482 5567 | Email: billing@alexandriasolutions.eg</w:t>
      </w:r>
    </w:p>
    <w:p>
      <w:pPr>
        <w:pStyle w:val="BodyText"/>
      </w:pPr>
      <w:r>
        <w:t xml:space="preserve">Tax Registration No: 552-881-334-EG</w:t>
      </w:r>
    </w:p>
    <w:bookmarkEnd w:id="20"/>
    <w:bookmarkStart w:id="21" w:name="invoice"/>
    <w:p>
      <w:pPr>
        <w:pStyle w:val="Heading2"/>
      </w:pPr>
      <w:r>
        <w:t xml:space="preserve">INVOICE</w:t>
      </w:r>
    </w:p>
    <w:p>
      <w:pPr>
        <w:pStyle w:val="FirstParagraph"/>
      </w:pPr>
      <w:r>
        <w:t xml:space="preserve">Invoice No: AXL-2025-004782</w:t>
      </w:r>
    </w:p>
    <w:p>
      <w:pPr>
        <w:pStyle w:val="BodyText"/>
      </w:pPr>
      <w:r>
        <w:t xml:space="preserve">Date of Issue: 15 June 2025</w:t>
      </w:r>
    </w:p>
    <w:p>
      <w:pPr>
        <w:pStyle w:val="BodyText"/>
      </w:pPr>
      <w:r>
        <w:t xml:space="preserve">Due Date: 15 July 2025</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Medina Trade &amp; Commerce Group</w:t>
      </w:r>
    </w:p>
    <w:p>
      <w:pPr>
        <w:pStyle w:val="BodyText"/>
      </w:pPr>
      <w:r>
        <w:t xml:space="preserve">Attn: Mr. Hassan El-Sayed, Procurement Director</w:t>
      </w:r>
    </w:p>
    <w:p>
      <w:pPr>
        <w:pStyle w:val="BodyText"/>
      </w:pPr>
      <w:r>
        <w:t xml:space="preserve">45 Port Said Road, Eastern District</w:t>
      </w:r>
    </w:p>
    <w:p>
      <w:pPr>
        <w:pStyle w:val="BodyText"/>
      </w:pPr>
      <w:r>
        <w:t xml:space="preserve">Alexandria, Egypt – 21921</w:t>
      </w:r>
    </w:p>
    <w:p>
      <w:pPr>
        <w:pStyle w:val="BodyText"/>
      </w:pPr>
      <w:r>
        <w:t xml:space="preserve">VAT No: 774-220-915-EG</w:t>
      </w:r>
    </w:p>
    <w:bookmarkEnd w:id="22"/>
    <w:bookmarkStart w:id="23" w:name="invoice-reference"/>
    <w:p>
      <w:pPr>
        <w:pStyle w:val="Heading3"/>
      </w:pPr>
      <w:r>
        <w:t xml:space="preserve">Invoice Reference</w:t>
      </w:r>
    </w:p>
    <w:p>
      <w:pPr>
        <w:pStyle w:val="FirstParagraph"/>
      </w:pPr>
      <w:r>
        <w:t xml:space="preserve">Contract Ref: SE-ALEX-2025-0031</w:t>
      </w:r>
    </w:p>
    <w:p>
      <w:pPr>
        <w:pStyle w:val="BodyText"/>
      </w:pPr>
      <w:r>
        <w:t xml:space="preserve">Service Period: 1 June 2025 – 30 June 2025</w:t>
      </w:r>
    </w:p>
    <w:p>
      <w:pPr>
        <w:pStyle w:val="BodyText"/>
      </w:pPr>
      <w:r>
        <w:t xml:space="preserve">Assigned Sales Executive: Mr. Karim Mostafa</w:t>
      </w:r>
    </w:p>
    <w:p>
      <w:pPr>
        <w:pStyle w:val="BodyText"/>
      </w:pPr>
      <w:r>
        <w:t xml:space="preserve">Department: Regional Sales – Egypt Alexandria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Monthly Sales Executive performance review and strategic account management for the Egypt Alexandria metropolitan region, including client relationship maintenance and quarterly pipeline reporting.</w:t>
            </w:r>
          </w:p>
        </w:tc>
        <w:tc>
          <w:tcPr/>
          <w:p>
            <w:pPr>
              <w:pStyle w:val="Compact"/>
              <w:jc w:val="left"/>
            </w:pPr>
            <w:r>
              <w:t xml:space="preserve">Account Management</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Field sales visits and commercial negotiations conducted by the assigned Sales Executive across Alexandria governorate, covering the Corniche, Montaza, and Eastern District commercial zones.</w:t>
            </w:r>
          </w:p>
        </w:tc>
        <w:tc>
          <w:tcPr/>
          <w:p>
            <w:pPr>
              <w:pStyle w:val="Compact"/>
              <w:jc w:val="left"/>
            </w:pPr>
            <w:r>
              <w:t xml:space="preserve">Field Sales Operations</w:t>
            </w:r>
          </w:p>
        </w:tc>
        <w:tc>
          <w:tcPr/>
          <w:p>
            <w:pPr>
              <w:pStyle w:val="Compact"/>
              <w:jc w:val="left"/>
            </w:pPr>
            <w:r>
              <w:t xml:space="preserve">32</w:t>
            </w:r>
          </w:p>
        </w:tc>
        <w:tc>
          <w:tcPr/>
          <w:p>
            <w:pPr>
              <w:pStyle w:val="Compact"/>
              <w:jc w:val="left"/>
            </w:pPr>
            <w:r>
              <w:t xml:space="preserve">950.00</w:t>
            </w:r>
          </w:p>
        </w:tc>
        <w:tc>
          <w:tcPr/>
          <w:p>
            <w:pPr>
              <w:pStyle w:val="Compact"/>
              <w:jc w:val="left"/>
            </w:pPr>
            <w:r>
              <w:t xml:space="preserve">30,400.00</w:t>
            </w:r>
          </w:p>
        </w:tc>
      </w:tr>
      <w:tr>
        <w:tc>
          <w:tcPr/>
          <w:p>
            <w:pPr>
              <w:pStyle w:val="Compact"/>
              <w:jc w:val="left"/>
            </w:pPr>
            <w:r>
              <w:t xml:space="preserve">3</w:t>
            </w:r>
          </w:p>
        </w:tc>
        <w:tc>
          <w:tcPr/>
          <w:p>
            <w:pPr>
              <w:pStyle w:val="Compact"/>
              <w:jc w:val="left"/>
            </w:pPr>
            <w:r>
              <w:t xml:space="preserve">Preparation and delivery of customized sales presentations and product demonstrations to prospective corporate clients in the Egypt Alexandria business corridor.</w:t>
            </w:r>
          </w:p>
        </w:tc>
        <w:tc>
          <w:tcPr/>
          <w:p>
            <w:pPr>
              <w:pStyle w:val="Compact"/>
              <w:jc w:val="left"/>
            </w:pPr>
            <w:r>
              <w:t xml:space="preserve">Sales Presentations</w:t>
            </w:r>
          </w:p>
        </w:tc>
        <w:tc>
          <w:tcPr/>
          <w:p>
            <w:pPr>
              <w:pStyle w:val="Compact"/>
              <w:jc w:val="left"/>
            </w:pPr>
            <w:r>
              <w:t xml:space="preserve">16</w:t>
            </w:r>
          </w:p>
        </w:tc>
        <w:tc>
          <w:tcPr/>
          <w:p>
            <w:pPr>
              <w:pStyle w:val="Compact"/>
              <w:jc w:val="left"/>
            </w:pPr>
            <w:r>
              <w:t xml:space="preserve">1,100.00</w:t>
            </w:r>
          </w:p>
        </w:tc>
        <w:tc>
          <w:tcPr/>
          <w:p>
            <w:pPr>
              <w:pStyle w:val="Compact"/>
              <w:jc w:val="left"/>
            </w:pPr>
            <w:r>
              <w:t xml:space="preserve">17,600.00</w:t>
            </w:r>
          </w:p>
        </w:tc>
      </w:tr>
      <w:tr>
        <w:tc>
          <w:tcPr/>
          <w:p>
            <w:pPr>
              <w:pStyle w:val="Compact"/>
              <w:jc w:val="left"/>
            </w:pPr>
            <w:r>
              <w:t xml:space="preserve">4</w:t>
            </w:r>
          </w:p>
        </w:tc>
        <w:tc>
          <w:tcPr/>
          <w:p>
            <w:pPr>
              <w:pStyle w:val="Compact"/>
              <w:jc w:val="left"/>
            </w:pPr>
            <w:r>
              <w:t xml:space="preserve">Market intelligence gathering and competitive analysis specific to the Alexandria commercial landscape, compiled by the Sales Executive for the client's regional strategy team.</w:t>
            </w:r>
          </w:p>
        </w:tc>
        <w:tc>
          <w:tcPr/>
          <w:p>
            <w:pPr>
              <w:pStyle w:val="Compact"/>
              <w:jc w:val="left"/>
            </w:pPr>
            <w:r>
              <w:t xml:space="preserve">Market Research</w:t>
            </w:r>
          </w:p>
        </w:tc>
        <w:tc>
          <w:tcPr/>
          <w:p>
            <w:pPr>
              <w:pStyle w:val="Compact"/>
              <w:jc w:val="left"/>
            </w:pPr>
            <w:r>
              <w:t xml:space="preserve">24</w:t>
            </w:r>
          </w:p>
        </w:tc>
        <w:tc>
          <w:tcPr/>
          <w:p>
            <w:pPr>
              <w:pStyle w:val="Compact"/>
              <w:jc w:val="left"/>
            </w:pPr>
            <w:r>
              <w:t xml:space="preserve">780.00</w:t>
            </w:r>
          </w:p>
        </w:tc>
        <w:tc>
          <w:tcPr/>
          <w:p>
            <w:pPr>
              <w:pStyle w:val="Compact"/>
              <w:jc w:val="left"/>
            </w:pPr>
            <w:r>
              <w:t xml:space="preserve">18,720.00</w:t>
            </w:r>
          </w:p>
        </w:tc>
      </w:tr>
      <w:tr>
        <w:tc>
          <w:tcPr/>
          <w:p>
            <w:pPr>
              <w:pStyle w:val="Compact"/>
              <w:jc w:val="left"/>
            </w:pPr>
            <w:r>
              <w:t xml:space="preserve">5</w:t>
            </w:r>
          </w:p>
        </w:tc>
        <w:tc>
          <w:tcPr/>
          <w:p>
            <w:pPr>
              <w:pStyle w:val="Compact"/>
              <w:jc w:val="left"/>
            </w:pPr>
            <w:r>
              <w:t xml:space="preserve">End-of-month invoicing support, contract renewal processing, and administrative coordination performed by the Sales Executive in alignment with Egypt Alexandria commercial regulations.</w:t>
            </w:r>
          </w:p>
        </w:tc>
        <w:tc>
          <w:tcPr/>
          <w:p>
            <w:pPr>
              <w:pStyle w:val="Compact"/>
              <w:jc w:val="left"/>
            </w:pPr>
            <w:r>
              <w:t xml:space="preserve">Administrative Support</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Emergency client escalation handling and after-hours Sales Executive availability for critical account retention in the Egypt Alexandria market during the reporting period.</w:t>
            </w:r>
          </w:p>
        </w:tc>
        <w:tc>
          <w:tcPr/>
          <w:p>
            <w:pPr>
              <w:pStyle w:val="Compact"/>
              <w:jc w:val="left"/>
            </w:pPr>
            <w:r>
              <w:t xml:space="preserve">Emergency Support</w:t>
            </w:r>
          </w:p>
        </w:tc>
        <w:tc>
          <w:tcPr/>
          <w:p>
            <w:pPr>
              <w:pStyle w:val="Compact"/>
              <w:jc w:val="left"/>
            </w:pPr>
            <w:r>
              <w:t xml:space="preserve">8</w:t>
            </w:r>
          </w:p>
        </w:tc>
        <w:tc>
          <w:tcPr/>
          <w:p>
            <w:pPr>
              <w:pStyle w:val="Compact"/>
              <w:jc w:val="left"/>
            </w:pPr>
            <w:r>
              <w:t xml:space="preserve">1,250.00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118,520.00 EGP</w:t>
            </w:r>
          </w:p>
        </w:tc>
      </w:tr>
      <w:tr>
        <w:tc>
          <w:tcPr/>
          <w:p>
            <w:pPr>
              <w:pStyle w:val="Compact"/>
              <w:jc w:val="left"/>
            </w:pPr>
            <w:r>
              <w:t xml:space="preserve">VAT (14% – Egypt Standard Rate)</w:t>
            </w:r>
          </w:p>
        </w:tc>
        <w:tc>
          <w:tcPr/>
          <w:p>
            <w:pPr>
              <w:pStyle w:val="Compact"/>
              <w:jc w:val="right"/>
            </w:pPr>
            <w:r>
              <w:t xml:space="preserve">16,592.80 EGP</w:t>
            </w:r>
          </w:p>
        </w:tc>
      </w:tr>
      <w:tr>
        <w:tc>
          <w:tcPr/>
          <w:p>
            <w:pPr>
              <w:pStyle w:val="Compact"/>
              <w:jc w:val="left"/>
            </w:pPr>
            <w:r>
              <w:t xml:space="preserve">Service Fee (2%)</w:t>
            </w:r>
          </w:p>
        </w:tc>
        <w:tc>
          <w:tcPr/>
          <w:p>
            <w:pPr>
              <w:pStyle w:val="Compact"/>
              <w:jc w:val="right"/>
            </w:pPr>
            <w:r>
              <w:t xml:space="preserve">2,370.40 EGP</w:t>
            </w:r>
          </w:p>
        </w:tc>
      </w:tr>
      <w:tr>
        <w:tc>
          <w:tcPr/>
          <w:p>
            <w:pPr>
              <w:pStyle w:val="Compact"/>
              <w:jc w:val="left"/>
            </w:pPr>
            <w:r>
              <w:t xml:space="preserve">Discount – Long-term Contract (5%)</w:t>
            </w:r>
          </w:p>
        </w:tc>
        <w:tc>
          <w:tcPr/>
          <w:p>
            <w:pPr>
              <w:pStyle w:val="Compact"/>
              <w:jc w:val="right"/>
            </w:pPr>
            <w:r>
              <w:t xml:space="preserve">-5,926.00 EGP</w:t>
            </w:r>
          </w:p>
        </w:tc>
      </w:tr>
      <w:tr>
        <w:tc>
          <w:tcPr/>
          <w:p>
            <w:pPr>
              <w:pStyle w:val="Compact"/>
              <w:jc w:val="left"/>
            </w:pPr>
            <w:r>
              <w:t xml:space="preserve">TOTAL AMOUNT DUE</w:t>
            </w:r>
          </w:p>
        </w:tc>
        <w:tc>
          <w:tcPr/>
          <w:p>
            <w:pPr>
              <w:pStyle w:val="Compact"/>
              <w:jc w:val="right"/>
            </w:pPr>
            <w:r>
              <w:t xml:space="preserve">131,557.20 EGP</w:t>
            </w:r>
          </w:p>
        </w:tc>
      </w:tr>
    </w:tbl>
    <w:bookmarkStart w:id="24" w:name="invoice-notes-terms"/>
    <w:p>
      <w:pPr>
        <w:pStyle w:val="Heading3"/>
      </w:pPr>
      <w:r>
        <w:t xml:space="preserve">Invoice Notes &amp; Terms</w:t>
      </w:r>
    </w:p>
    <w:p>
      <w:pPr>
        <w:pStyle w:val="FirstParagraph"/>
      </w:pPr>
      <w:r>
        <w:t xml:space="preserve">This Invoice is issued in accordance with the Service Level Agreement (SLA) governing the provision of Sales Executive services between Alexandria Business Solutions Ltd. and Medina Trade &amp; Commerce Group. All services rendered by the assigned Sales Executive, Mr. Karim Mostafa, were performed within the Egypt Alexandria metropolitan area during the stated service period.</w:t>
      </w:r>
    </w:p>
    <w:p>
      <w:pPr>
        <w:pStyle w:val="BodyText"/>
      </w:pPr>
      <w:r>
        <w:t xml:space="preserve">The Sales Executive is authorized to represent Alexandria Business Solutions Ltd. in all commercial dealings within the Egypt Alexandria region. All client interactions, negotiations, and contractual commitments made by the Sales Executive during this period are binding upon both parties as outlined in the master service agreement dated 1 January 2025.</w:t>
      </w:r>
    </w:p>
    <w:p>
      <w:pPr>
        <w:pStyle w:val="BodyText"/>
      </w:pPr>
      <w:r>
        <w:t xml:space="preserve">Payment is due within thirty (30) calendar days from the date of this Invoice. Late payments shall incur a penalty of 1.5% per month as stipulated under Egyptian Commercial Law (Law No. 17 of 1999). This Invoice must be settled in Egyptian Pounds (EGP) via bank transfer to the account specified below.</w:t>
      </w:r>
    </w:p>
    <w:p>
      <w:pPr>
        <w:pStyle w:val="BodyText"/>
      </w:pPr>
      <w:r>
        <w:t xml:space="preserve">Any disputes arising from this Invoice or the associated Sales Executive services shall be resolved through the Alexandria Commercial Arbitration Centre in accordance with Egyptian law. The jurisdiction of this Invoice and all related contractual obligations is the courts of Egypt, Alexandria.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Egypt – Alexandria Main Branch</w:t>
      </w:r>
    </w:p>
    <w:p>
      <w:pPr>
        <w:pStyle w:val="BodyText"/>
      </w:pPr>
      <w:r>
        <w:rPr>
          <w:bCs/>
          <w:b/>
        </w:rPr>
        <w:t xml:space="preserve">Account Name:</w:t>
      </w:r>
      <w:r>
        <w:t xml:space="preserve"> </w:t>
      </w:r>
      <w:r>
        <w:t xml:space="preserve">Alexandria Business Solutions Ltd.</w:t>
      </w:r>
    </w:p>
    <w:p>
      <w:pPr>
        <w:pStyle w:val="BodyText"/>
      </w:pPr>
      <w:r>
        <w:rPr>
          <w:bCs/>
          <w:b/>
        </w:rPr>
        <w:t xml:space="preserve">Account Number:</w:t>
      </w:r>
      <w:r>
        <w:t xml:space="preserve"> </w:t>
      </w:r>
      <w:r>
        <w:t xml:space="preserve">0045-8821-3367-9901</w:t>
      </w:r>
    </w:p>
    <w:p>
      <w:pPr>
        <w:pStyle w:val="BodyText"/>
      </w:pPr>
      <w:r>
        <w:rPr>
          <w:bCs/>
          <w:b/>
        </w:rPr>
        <w:t xml:space="preserve">SWIFT Code:</w:t>
      </w:r>
      <w:r>
        <w:t xml:space="preserve"> </w:t>
      </w:r>
      <w:r>
        <w:t xml:space="preserve">NBEYEGCA</w:t>
      </w:r>
    </w:p>
    <w:p>
      <w:pPr>
        <w:pStyle w:val="BodyText"/>
      </w:pPr>
      <w:r>
        <w:rPr>
          <w:bCs/>
          <w:b/>
        </w:rPr>
        <w:t xml:space="preserve">Reference:</w:t>
      </w:r>
      <w:r>
        <w:t xml:space="preserve"> </w:t>
      </w:r>
      <w:r>
        <w:t xml:space="preserve">Please cite Invoice No. AXL-2025-004782 and Sales Executive Contract Ref. SE-ALEX-2025-0031 in all payment communications.</w:t>
      </w:r>
    </w:p>
    <w:bookmarkEnd w:id="25"/>
    <w:p>
      <w:pPr>
        <w:pStyle w:val="BodyText"/>
      </w:pPr>
      <w:r>
        <w:rPr>
          <w:bCs/>
          <w:b/>
        </w:rPr>
        <w:t xml:space="preserve">Alexandria Business Solutions Ltd.</w:t>
      </w:r>
      <w:r>
        <w:t xml:space="preserve"> </w:t>
      </w:r>
      <w:r>
        <w:t xml:space="preserve">| 12 Corniche El-Nil Street, Alexandria, Egypt – 21543</w:t>
      </w:r>
    </w:p>
    <w:p>
      <w:pPr>
        <w:pStyle w:val="BodyText"/>
      </w:pPr>
      <w:r>
        <w:t xml:space="preserve">This Invoice is a computer-generated document and does not require a physical signature. It is valid as a legal financial record under Egyptian tax and commercial regulations.</w:t>
      </w:r>
    </w:p>
    <w:p>
      <w:pPr>
        <w:pStyle w:val="BodyText"/>
      </w:pPr>
      <w:r>
        <w:t xml:space="preserve">For inquiries regarding this Invoice or the Sales Executive services rendered, please contact our billing department at billing@alexandriasolutions.eg or +20 3 482 5567, Monday through Friday, 9:00 AM – 5:00 PM (Egypt Standard Time).</w:t>
      </w:r>
    </w:p>
    <w:p>
      <w:pPr>
        <w:pStyle w:val="BodyText"/>
      </w:pPr>
      <w:r>
        <w:t xml:space="preserve">© 2025 Alexandria Business Solutions Ltd. All rights reserved. | Commercial Registration: ALEX-2019-44821 | Egypt Alexandria Chamber of Commerce Member No. 11207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Egypt Alexandria</dc:title>
  <dc:creator/>
  <dc:language>en</dc:language>
  <cp:keywords/>
  <dcterms:created xsi:type="dcterms:W3CDTF">2026-10-10T07:34:21Z</dcterms:created>
  <dcterms:modified xsi:type="dcterms:W3CDTF">2026-10-10T07:34:21Z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