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Peru</w:t>
      </w:r>
      <w:r>
        <w:t xml:space="preserve"> </w:t>
      </w:r>
      <w:r>
        <w:t xml:space="preserve">Lima</w:t>
      </w:r>
    </w:p>
    <w:bookmarkStart w:id="20" w:name="andes-corporate-solutions-s.a.c."/>
    <w:p>
      <w:pPr>
        <w:pStyle w:val="Heading1"/>
      </w:pPr>
      <w:r>
        <w:t xml:space="preserve">Andes Corporate Solutions S.A.C.</w:t>
      </w:r>
    </w:p>
    <w:p>
      <w:pPr>
        <w:pStyle w:val="FirstParagraph"/>
      </w:pPr>
      <w:r>
        <w:t xml:space="preserve">RUC: 20587431296</w:t>
      </w:r>
    </w:p>
    <w:p>
      <w:pPr>
        <w:pStyle w:val="BodyText"/>
      </w:pPr>
      <w:r>
        <w:t xml:space="preserve">Av. Javier Prado Este 1245, San Isidro</w:t>
      </w:r>
    </w:p>
    <w:p>
      <w:pPr>
        <w:pStyle w:val="BodyText"/>
      </w:pPr>
      <w:r>
        <w:t xml:space="preserve">Peru Lima, 15077</w:t>
      </w:r>
    </w:p>
    <w:p>
      <w:pPr>
        <w:pStyle w:val="BodyText"/>
      </w:pPr>
      <w:r>
        <w:t xml:space="preserve">Tel: +51 1 445-6789 | Email: billing@andescorp.pe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SE-CONTRACT-2025-031</w:t>
      </w:r>
    </w:p>
    <w:p>
      <w:pPr>
        <w:pStyle w:val="BodyText"/>
      </w:pPr>
      <w:r>
        <w:t xml:space="preserve">Peru Lima</w:t>
      </w:r>
    </w:p>
    <w:bookmarkEnd w:id="21"/>
    <w:bookmarkStart w:id="22" w:name="billed-to"/>
    <w:p>
      <w:pPr>
        <w:pStyle w:val="Heading3"/>
      </w:pPr>
      <w:r>
        <w:t xml:space="preserve">Billed To</w:t>
      </w:r>
    </w:p>
    <w:p>
      <w:pPr>
        <w:pStyle w:val="FirstParagraph"/>
      </w:pPr>
      <w:r>
        <w:rPr>
          <w:bCs/>
          <w:b/>
        </w:rPr>
        <w:t xml:space="preserve">Horizonte Retail Group S.A.C.</w:t>
      </w:r>
    </w:p>
    <w:p>
      <w:pPr>
        <w:pStyle w:val="BodyText"/>
      </w:pPr>
      <w:r>
        <w:t xml:space="preserve">RUC: 20612345678</w:t>
      </w:r>
    </w:p>
    <w:p>
      <w:pPr>
        <w:pStyle w:val="BodyText"/>
      </w:pPr>
      <w:r>
        <w:t xml:space="preserve">Calle de la Innovación 890, Piso 12</w:t>
      </w:r>
    </w:p>
    <w:p>
      <w:pPr>
        <w:pStyle w:val="BodyText"/>
      </w:pPr>
      <w:r>
        <w:t xml:space="preserve">Miraflores, Peru Lima, 15073</w:t>
      </w:r>
    </w:p>
    <w:p>
      <w:pPr>
        <w:pStyle w:val="BodyText"/>
      </w:pPr>
      <w:r>
        <w:t xml:space="preserve">Attn: Lic. María Fernanda Quispe</w:t>
      </w:r>
    </w:p>
    <w:p>
      <w:pPr>
        <w:pStyle w:val="BodyText"/>
      </w:pPr>
      <w:r>
        <w:t xml:space="preserve">Procurement Department</w:t>
      </w:r>
    </w:p>
    <w:bookmarkEnd w:id="22"/>
    <w:bookmarkStart w:id="23" w:name="service-provider"/>
    <w:p>
      <w:pPr>
        <w:pStyle w:val="Heading3"/>
      </w:pPr>
      <w:r>
        <w:t xml:space="preserve">Service Provider</w:t>
      </w:r>
    </w:p>
    <w:p>
      <w:pPr>
        <w:pStyle w:val="FirstParagraph"/>
      </w:pPr>
      <w:r>
        <w:rPr>
          <w:bCs/>
          <w:b/>
        </w:rPr>
        <w:t xml:space="preserve">Andes Corporate Solutions S.A.C.</w:t>
      </w:r>
    </w:p>
    <w:p>
      <w:pPr>
        <w:pStyle w:val="BodyText"/>
      </w:pPr>
      <w:r>
        <w:t xml:space="preserve">RUC: 20587431296</w:t>
      </w:r>
    </w:p>
    <w:p>
      <w:pPr>
        <w:pStyle w:val="BodyText"/>
      </w:pPr>
      <w:r>
        <w:t xml:space="preserve">Av. Javier Prado Este 1245, San Isidro</w:t>
      </w:r>
    </w:p>
    <w:p>
      <w:pPr>
        <w:pStyle w:val="BodyText"/>
      </w:pPr>
      <w:r>
        <w:t xml:space="preserve">Peru Lima, 15077</w:t>
      </w:r>
    </w:p>
    <w:p>
      <w:pPr>
        <w:pStyle w:val="BodyText"/>
      </w:pPr>
      <w:r>
        <w:t xml:space="preserve">Attn: Sr. Carlos Alberto Mendoza</w:t>
      </w:r>
    </w:p>
    <w:p>
      <w:pPr>
        <w:pStyle w:val="BodyText"/>
      </w:pPr>
      <w:r>
        <w:t xml:space="preserve">Director of Sales &amp; Business Development</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Amount (PEN)</w:t>
            </w:r>
          </w:p>
        </w:tc>
        <w:tc>
          <w:tcPr/>
          <w:p>
            <w:pPr>
              <w:pStyle w:val="Compact"/>
              <w:jc w:val="left"/>
            </w:pPr>
            <w:r>
              <w:t xml:space="preserve">IGV (18%)</w:t>
            </w:r>
          </w:p>
        </w:tc>
      </w:tr>
      <w:tr>
        <w:tc>
          <w:tcPr/>
          <w:p>
            <w:pPr>
              <w:pStyle w:val="Compact"/>
              <w:jc w:val="left"/>
            </w:pPr>
            <w:r>
              <w:t xml:space="preserve">01</w:t>
            </w:r>
          </w:p>
        </w:tc>
        <w:tc>
          <w:tcPr/>
          <w:p>
            <w:pPr>
              <w:pStyle w:val="Compact"/>
              <w:jc w:val="left"/>
            </w:pPr>
            <w:r>
              <w:rPr>
                <w:bCs/>
                <w:b/>
              </w:rPr>
              <w:t xml:space="preserve">Sales Executive – Senior Level</w:t>
            </w:r>
            <w:r>
              <w:br/>
            </w:r>
            <w:r>
              <w:t xml:space="preserve">Full-time dedicated Sales Executive assigned to the Peru Lima metropolitan region. Includes territory management, client acquisition, and quarterly performance reporting for the period of January through June 2025.</w:t>
            </w:r>
          </w:p>
        </w:tc>
        <w:tc>
          <w:tcPr/>
          <w:p>
            <w:pPr>
              <w:pStyle w:val="Compact"/>
              <w:jc w:val="left"/>
            </w:pPr>
            <w:r>
              <w:t xml:space="preserve">6 months</w:t>
            </w:r>
          </w:p>
        </w:tc>
        <w:tc>
          <w:tcPr/>
          <w:p>
            <w:pPr>
              <w:pStyle w:val="Compact"/>
              <w:jc w:val="left"/>
            </w:pPr>
            <w:r>
              <w:t xml:space="preserve">8,500.00</w:t>
            </w:r>
          </w:p>
        </w:tc>
        <w:tc>
          <w:tcPr/>
          <w:p>
            <w:pPr>
              <w:pStyle w:val="Compact"/>
              <w:jc w:val="left"/>
            </w:pPr>
            <w:r>
              <w:t xml:space="preserve">51,000.00</w:t>
            </w:r>
          </w:p>
        </w:tc>
        <w:tc>
          <w:tcPr/>
          <w:p>
            <w:pPr>
              <w:pStyle w:val="Compact"/>
              <w:jc w:val="left"/>
            </w:pPr>
            <w:r>
              <w:t xml:space="preserve">9,180.00</w:t>
            </w:r>
          </w:p>
        </w:tc>
      </w:tr>
      <w:tr>
        <w:tc>
          <w:tcPr/>
          <w:p>
            <w:pPr>
              <w:pStyle w:val="Compact"/>
              <w:jc w:val="left"/>
            </w:pPr>
            <w:r>
              <w:t xml:space="preserve">02</w:t>
            </w:r>
          </w:p>
        </w:tc>
        <w:tc>
          <w:tcPr/>
          <w:p>
            <w:pPr>
              <w:pStyle w:val="Compact"/>
              <w:jc w:val="left"/>
            </w:pPr>
            <w:r>
              <w:rPr>
                <w:bCs/>
                <w:b/>
              </w:rPr>
              <w:t xml:space="preserve">Sales Executive – Mid-Level (2 positions)</w:t>
            </w:r>
            <w:r>
              <w:br/>
            </w:r>
            <w:r>
              <w:t xml:space="preserve">Two (2) mid-level Sales Executive professionals deployed across the Callao and Surco districts of Peru Lima. Responsibilities include B2B account management, pipeline development, and weekly sales activity documentation.</w:t>
            </w:r>
          </w:p>
        </w:tc>
        <w:tc>
          <w:tcPr/>
          <w:p>
            <w:pPr>
              <w:pStyle w:val="Compact"/>
              <w:jc w:val="left"/>
            </w:pPr>
            <w:r>
              <w:t xml:space="preserve">12 months</w:t>
            </w:r>
          </w:p>
        </w:tc>
        <w:tc>
          <w:tcPr/>
          <w:p>
            <w:pPr>
              <w:pStyle w:val="Compact"/>
              <w:jc w:val="left"/>
            </w:pPr>
            <w:r>
              <w:t xml:space="preserve">5,200.00</w:t>
            </w:r>
          </w:p>
        </w:tc>
        <w:tc>
          <w:tcPr/>
          <w:p>
            <w:pPr>
              <w:pStyle w:val="Compact"/>
              <w:jc w:val="left"/>
            </w:pPr>
            <w:r>
              <w:t xml:space="preserve">62,400.00</w:t>
            </w:r>
          </w:p>
        </w:tc>
        <w:tc>
          <w:tcPr/>
          <w:p>
            <w:pPr>
              <w:pStyle w:val="Compact"/>
              <w:jc w:val="left"/>
            </w:pPr>
            <w:r>
              <w:t xml:space="preserve">11,232.00</w:t>
            </w:r>
          </w:p>
        </w:tc>
      </w:tr>
      <w:tr>
        <w:tc>
          <w:tcPr/>
          <w:p>
            <w:pPr>
              <w:pStyle w:val="Compact"/>
              <w:jc w:val="left"/>
            </w:pPr>
            <w:r>
              <w:t xml:space="preserve">03</w:t>
            </w:r>
          </w:p>
        </w:tc>
        <w:tc>
          <w:tcPr/>
          <w:p>
            <w:pPr>
              <w:pStyle w:val="Compact"/>
              <w:jc w:val="left"/>
            </w:pPr>
            <w:r>
              <w:rPr>
                <w:bCs/>
                <w:b/>
              </w:rPr>
              <w:t xml:space="preserve">Sales Executive Training &amp; Onboarding Program</w:t>
            </w:r>
            <w:r>
              <w:br/>
            </w:r>
            <w:r>
              <w:t xml:space="preserve">Comprehensive onboarding and product-knowledge training for all Sales Executive personnel assigned to the Peru Lima office. Includes CRM system certification, negotiation workshops, and compliance training aligned with Peruvian commercial regulations.</w:t>
            </w:r>
          </w:p>
        </w:tc>
        <w:tc>
          <w:tcPr/>
          <w:p>
            <w:pPr>
              <w:pStyle w:val="Compact"/>
              <w:jc w:val="left"/>
            </w:pPr>
            <w:r>
              <w:t xml:space="preserve">1 package</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864.00</w:t>
            </w:r>
          </w:p>
        </w:tc>
      </w:tr>
      <w:tr>
        <w:tc>
          <w:tcPr/>
          <w:p>
            <w:pPr>
              <w:pStyle w:val="Compact"/>
              <w:jc w:val="left"/>
            </w:pPr>
            <w:r>
              <w:t xml:space="preserve">04</w:t>
            </w:r>
          </w:p>
        </w:tc>
        <w:tc>
          <w:tcPr/>
          <w:p>
            <w:pPr>
              <w:pStyle w:val="Compact"/>
              <w:jc w:val="left"/>
            </w:pPr>
            <w:r>
              <w:rPr>
                <w:bCs/>
                <w:b/>
              </w:rPr>
              <w:t xml:space="preserve">Sales Executive Performance Analytics Dashboard</w:t>
            </w:r>
            <w:r>
              <w:br/>
            </w:r>
            <w:r>
              <w:t xml:space="preserve">Monthly generation of KPI reports, conversion-funnel analysis, and revenue-forecasting models specific to the Sales Executive team operating in Peru Lima. Delivered via secure cloud portal with executive summary memos.</w:t>
            </w:r>
          </w:p>
        </w:tc>
        <w:tc>
          <w:tcPr/>
          <w:p>
            <w:pPr>
              <w:pStyle w:val="Compact"/>
              <w:jc w:val="left"/>
            </w:pPr>
            <w:r>
              <w:t xml:space="preserve">6 reports</w:t>
            </w:r>
          </w:p>
        </w:tc>
        <w:tc>
          <w:tcPr/>
          <w:p>
            <w:pPr>
              <w:pStyle w:val="Compact"/>
              <w:jc w:val="left"/>
            </w:pPr>
            <w:r>
              <w:t xml:space="preserve">1,200.00</w:t>
            </w:r>
          </w:p>
        </w:tc>
        <w:tc>
          <w:tcPr/>
          <w:p>
            <w:pPr>
              <w:pStyle w:val="Compact"/>
              <w:jc w:val="left"/>
            </w:pPr>
            <w:r>
              <w:t xml:space="preserve">7,200.00</w:t>
            </w:r>
          </w:p>
        </w:tc>
        <w:tc>
          <w:tcPr/>
          <w:p>
            <w:pPr>
              <w:pStyle w:val="Compact"/>
              <w:jc w:val="left"/>
            </w:pPr>
            <w:r>
              <w:t xml:space="preserve">1,296.00</w:t>
            </w:r>
          </w:p>
        </w:tc>
      </w:tr>
      <w:tr>
        <w:tc>
          <w:tcPr/>
          <w:p>
            <w:pPr>
              <w:pStyle w:val="Compact"/>
              <w:jc w:val="left"/>
            </w:pPr>
            <w:r>
              <w:t xml:space="preserve">05</w:t>
            </w:r>
          </w:p>
        </w:tc>
        <w:tc>
          <w:tcPr/>
          <w:p>
            <w:pPr>
              <w:pStyle w:val="Compact"/>
              <w:jc w:val="left"/>
            </w:pPr>
            <w:r>
              <w:rPr>
                <w:bCs/>
                <w:b/>
              </w:rPr>
              <w:t xml:space="preserve">Travel &amp; Field Operations – Peru Lima Region</w:t>
            </w:r>
            <w:r>
              <w:br/>
            </w:r>
            <w:r>
              <w:t xml:space="preserve">Reimbursement of approved travel expenses, client-visit logistics, and field-operation costs incurred by the Sales Executive team while conducting business development activities throughout the Lima metropolitan area and surrounding provinces.</w:t>
            </w:r>
          </w:p>
        </w:tc>
        <w:tc>
          <w:tcPr/>
          <w:p>
            <w:pPr>
              <w:pStyle w:val="Compact"/>
              <w:jc w:val="left"/>
            </w:pPr>
            <w:r>
              <w:t xml:space="preserve">1 lump sum</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648.00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IGV)</w:t>
            </w:r>
          </w:p>
        </w:tc>
        <w:tc>
          <w:tcPr/>
          <w:p>
            <w:pPr>
              <w:pStyle w:val="Compact"/>
              <w:jc w:val="left"/>
            </w:pPr>
            <w:r>
              <w:t xml:space="preserve">S/ 129,000.00</w:t>
            </w:r>
          </w:p>
        </w:tc>
      </w:tr>
      <w:tr>
        <w:tc>
          <w:tcPr/>
          <w:p>
            <w:pPr>
              <w:pStyle w:val="Compact"/>
              <w:jc w:val="left"/>
            </w:pPr>
            <w:r>
              <w:t xml:space="preserve">IGV – Impuesto General a las Ventas (18%)</w:t>
            </w:r>
          </w:p>
        </w:tc>
        <w:tc>
          <w:tcPr/>
          <w:p>
            <w:pPr>
              <w:pStyle w:val="Compact"/>
              <w:jc w:val="left"/>
            </w:pPr>
            <w:r>
              <w:t xml:space="preserve">S/ 23,220.00</w:t>
            </w:r>
          </w:p>
        </w:tc>
      </w:tr>
      <w:tr>
        <w:tc>
          <w:tcPr/>
          <w:p>
            <w:pPr>
              <w:pStyle w:val="Compact"/>
              <w:jc w:val="left"/>
            </w:pPr>
            <w:r>
              <w:t xml:space="preserve">Early Payment Discount (2% if paid before 20 June 2025)</w:t>
            </w:r>
          </w:p>
        </w:tc>
        <w:tc>
          <w:tcPr/>
          <w:p>
            <w:pPr>
              <w:pStyle w:val="Compact"/>
              <w:jc w:val="left"/>
            </w:pPr>
            <w:r>
              <w:t xml:space="preserve">- S/ 2,580.00</w:t>
            </w:r>
          </w:p>
        </w:tc>
      </w:tr>
      <w:tr>
        <w:tc>
          <w:tcPr/>
          <w:p>
            <w:pPr>
              <w:pStyle w:val="Compact"/>
              <w:jc w:val="left"/>
            </w:pPr>
            <w:r>
              <w:t xml:space="preserve">GRAND TOTAL (PEN)</w:t>
            </w:r>
          </w:p>
        </w:tc>
        <w:tc>
          <w:tcPr/>
          <w:p>
            <w:pPr>
              <w:pStyle w:val="Compact"/>
              <w:jc w:val="left"/>
            </w:pPr>
            <w:r>
              <w:t xml:space="preserve">S/ 149,640.00</w:t>
            </w:r>
          </w:p>
        </w:tc>
      </w:tr>
    </w:tbl>
    <w:bookmarkStart w:id="24" w:name="invoice-notes-payment-instructions"/>
    <w:p>
      <w:pPr>
        <w:pStyle w:val="Heading3"/>
      </w:pPr>
      <w:r>
        <w:t xml:space="preserve">Invoice Notes &amp; Payment Instructions</w:t>
      </w:r>
    </w:p>
    <w:p>
      <w:pPr>
        <w:pStyle w:val="FirstParagraph"/>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Andes Corporate Solutions S.A.C.</w:t>
      </w:r>
    </w:p>
    <w:p>
      <w:pPr>
        <w:pStyle w:val="BodyText"/>
      </w:pPr>
      <w:r>
        <w:rPr>
          <w:bCs/>
          <w:b/>
        </w:rPr>
        <w:t xml:space="preserve">Account No.:</w:t>
      </w:r>
      <w:r>
        <w:t xml:space="preserve"> </w:t>
      </w:r>
      <w:r>
        <w:t xml:space="preserve">191-20456789-05</w:t>
      </w:r>
    </w:p>
    <w:p>
      <w:pPr>
        <w:pStyle w:val="BodyText"/>
      </w:pPr>
      <w:r>
        <w:rPr>
          <w:bCs/>
          <w:b/>
        </w:rPr>
        <w:t xml:space="preserve">IBAN:</w:t>
      </w:r>
      <w:r>
        <w:t xml:space="preserve"> </w:t>
      </w:r>
      <w:r>
        <w:t xml:space="preserve">PE18 0021 0000 1912 0456 7890 5</w:t>
      </w:r>
    </w:p>
    <w:p>
      <w:pPr>
        <w:pStyle w:val="BodyText"/>
      </w:pPr>
      <w:r>
        <w:rPr>
          <w:bCs/>
          <w:b/>
        </w:rPr>
        <w:t xml:space="preserve">SWIFT:</w:t>
      </w:r>
      <w:r>
        <w:t xml:space="preserve"> </w:t>
      </w:r>
      <w:r>
        <w:t xml:space="preserve">BCRPPEPP</w:t>
      </w:r>
    </w:p>
    <w:p>
      <w:pPr>
        <w:pStyle w:val="BodyText"/>
      </w:pPr>
      <w:r>
        <w:t xml:space="preserve">Please reference Invoice No. INV-2025-00487 in the transfer memo. This Invoice is valid for 30 calendar days from the issue date. All amounts are denominated in Peruvian Soles (PEN). The Sales Executive services described herein are governed by the master service agreement dated 01 January 2025, executed in Peru Lima.</w:t>
      </w:r>
    </w:p>
    <w:bookmarkEnd w:id="24"/>
    <w:bookmarkStart w:id="25" w:name="terms-and-conditions"/>
    <w:p>
      <w:pPr>
        <w:pStyle w:val="Heading3"/>
      </w:pPr>
      <w:r>
        <w:t xml:space="preserve">Terms and Conditions</w:t>
      </w:r>
    </w:p>
    <w:p>
      <w:pPr>
        <w:pStyle w:val="FirstParagraph"/>
      </w:pPr>
      <w:r>
        <w:t xml:space="preserve">1. This Invoice constitutes a formal request for payment in accordance with the commercial terms established in the master service agreement between Andes Corporate Solutions S.A.C. and Horizonte Retail Group S.A.C., both entities registered and operating in Peru Lima.</w:t>
      </w:r>
    </w:p>
    <w:p>
      <w:pPr>
        <w:pStyle w:val="BodyText"/>
      </w:pPr>
      <w:r>
        <w:t xml:space="preserve">2. The Sales Executive personnel referenced in this Invoice are engaged as independent contractors under the supervision of Andes Corporate Solutions S.A.C. The client retains no direct employment relationship with the Sales Executive staff. Any modifications to the scope of Sales Executive duties must be approved in writing by both parties prior to implementation.</w:t>
      </w:r>
    </w:p>
    <w:p>
      <w:pPr>
        <w:pStyle w:val="BodyText"/>
      </w:pPr>
      <w:r>
        <w:t xml:space="preserve">3. Payment is due within fifteen (15) calendar days of the Invoice issue date. Late payments shall accrue interest at the rate established by the Superintendencia de Banca, Seguros y AFP (SBS) of Peru, calculated on a daily basis from the due date until full settlement.</w:t>
      </w:r>
    </w:p>
    <w:p>
      <w:pPr>
        <w:pStyle w:val="BodyText"/>
      </w:pPr>
      <w:r>
        <w:t xml:space="preserve">4. All services rendered by the Sales Executive team in the Peru Lima region are subject to the applicable Peruvian labor and commercial regulations. The IGV (18%) applied on this Invoice is in compliance with the Peruvian tax code administered by SUNAT.</w:t>
      </w:r>
    </w:p>
    <w:p>
      <w:pPr>
        <w:pStyle w:val="BodyText"/>
      </w:pPr>
      <w:r>
        <w:t xml:space="preserve">5. Disputes arising from this Invoice or the underlying Sales Executive engagement shall be resolved through binding arbitration in Peru Lima, in accordance with the rules of the Centro de Arbitraje y Conciliación de la Cámara de Comercio de Lima.</w:t>
      </w:r>
    </w:p>
    <w:p>
      <w:pPr>
        <w:pStyle w:val="BodyText"/>
      </w:pPr>
      <w:r>
        <w:t xml:space="preserve">6. This Invoice is non-transferable. Any questions regarding the line items, the Sales Executive allocation, or the billing cycle should be directed to the billing department at billing@andescorp.pe or by telephone at +51 1 445-6789, extension 204.</w:t>
      </w:r>
    </w:p>
    <w:bookmarkEnd w:id="25"/>
    <w:p>
      <w:pPr>
        <w:pStyle w:val="BodyText"/>
      </w:pPr>
      <w:r>
        <w:t xml:space="preserve">Andes Corporate Solutions S.A.C. | RUC 20587431296 | Av. Javier Prado Este 1245, San Isidro, Peru Lima, 15077</w:t>
      </w:r>
    </w:p>
    <w:p>
      <w:pPr>
        <w:pStyle w:val="BodyText"/>
      </w:pPr>
      <w:r>
        <w:t xml:space="preserve">This Invoice was generated electronically and is valid without a physical signature in accordance with Peruvian electronic-documentation regulations (Ley N° 27269).</w:t>
      </w:r>
    </w:p>
    <w:p>
      <w:pPr>
        <w:pStyle w:val="BodyText"/>
      </w:pPr>
      <w:r>
        <w:t xml:space="preserve">Document ID: INV-2025-00487 | Generated: 15/06/2025 09:42 AM (GMT-5)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Peru Lima</dc:title>
  <dc:creator/>
  <dc:language>en</dc:language>
  <cp:keywords/>
  <dcterms:created xsi:type="dcterms:W3CDTF">2026-10-10T06:20:02Z</dcterms:created>
  <dcterms:modified xsi:type="dcterms:W3CDTF">2026-10-10T06:20:02Z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