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meridian-business-solutions-co.-ltd."/>
    <w:p>
      <w:pPr>
        <w:pStyle w:val="Heading1"/>
      </w:pPr>
      <w:r>
        <w:t xml:space="preserve">Meridian Business Solutions Co., Ltd.</w:t>
      </w:r>
    </w:p>
    <w:p>
      <w:pPr>
        <w:pStyle w:val="FirstParagraph"/>
      </w:pPr>
      <w:r>
        <w:t xml:space="preserve">128 Sukhumvit Road, Suite 2401, Tower B</w:t>
      </w:r>
    </w:p>
    <w:p>
      <w:pPr>
        <w:pStyle w:val="BodyText"/>
      </w:pPr>
      <w:r>
        <w:t xml:space="preserve">Khlong Toei Nuea, Watthana, Bangkok 10110, Thailand</w:t>
      </w:r>
    </w:p>
    <w:p>
      <w:pPr>
        <w:pStyle w:val="BodyText"/>
      </w:pPr>
      <w:r>
        <w:t xml:space="preserve">Tel: +66 (0) 2 255 8890 | Email: billing@meridianbs.co.th</w:t>
      </w:r>
    </w:p>
    <w:p>
      <w:pPr>
        <w:pStyle w:val="BodyText"/>
      </w:pPr>
      <w:r>
        <w:t xml:space="preserve">Tax ID (VAT): 0105556789012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MBS-2025-04871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April 2025 – 30 June 2025</w:t>
      </w:r>
    </w:p>
    <w:p>
      <w:pPr>
        <w:pStyle w:val="BodyText"/>
      </w:pPr>
      <w:r>
        <w:t xml:space="preserve">PAID IN FULL</w:t>
      </w:r>
    </w:p>
    <w:bookmarkEnd w:id="21"/>
    <w:bookmarkStart w:id="22" w:name="billed-to"/>
    <w:p>
      <w:pPr>
        <w:pStyle w:val="Heading3"/>
      </w:pPr>
      <w:r>
        <w:t xml:space="preserve">Billed To</w:t>
      </w:r>
    </w:p>
    <w:p>
      <w:pPr>
        <w:pStyle w:val="FirstParagraph"/>
      </w:pPr>
      <w:r>
        <w:rPr>
          <w:bCs/>
          <w:b/>
        </w:rPr>
        <w:t xml:space="preserve">Thailand Bangkok Enterprise Group PCL</w:t>
      </w:r>
    </w:p>
    <w:p>
      <w:pPr>
        <w:pStyle w:val="BodyText"/>
      </w:pPr>
      <w:r>
        <w:t xml:space="preserve">45 Ratchadamri Road, Lumphini</w:t>
      </w:r>
    </w:p>
    <w:p>
      <w:pPr>
        <w:pStyle w:val="BodyText"/>
      </w:pPr>
      <w:r>
        <w:t xml:space="preserve">Pathum Wan, Bangkok 10330, Thailand</w:t>
      </w:r>
    </w:p>
    <w:p>
      <w:pPr>
        <w:pStyle w:val="BodyText"/>
      </w:pPr>
      <w:r>
        <w:t xml:space="preserve">Attn: Mr. Somchai Prasert, Chief Financial Officer</w:t>
      </w:r>
    </w:p>
    <w:p>
      <w:pPr>
        <w:pStyle w:val="BodyText"/>
      </w:pPr>
      <w:r>
        <w:t xml:space="preserve">Tax ID: 0105551234567</w:t>
      </w:r>
    </w:p>
    <w:bookmarkEnd w:id="22"/>
    <w:bookmarkStart w:id="23" w:name="prepared-by"/>
    <w:p>
      <w:pPr>
        <w:pStyle w:val="Heading3"/>
      </w:pPr>
      <w:r>
        <w:t xml:space="preserve">Prepared By</w:t>
      </w:r>
    </w:p>
    <w:p>
      <w:pPr>
        <w:pStyle w:val="FirstParagraph"/>
      </w:pPr>
      <w:r>
        <w:rPr>
          <w:bCs/>
          <w:b/>
        </w:rPr>
        <w:t xml:space="preserve">Sales Executive: Nattapong Chaiyasit</w:t>
      </w:r>
    </w:p>
    <w:p>
      <w:pPr>
        <w:pStyle w:val="BodyText"/>
      </w:pPr>
      <w:r>
        <w:t xml:space="preserve">Senior Sales Executive, Client Accounts Division</w:t>
      </w:r>
    </w:p>
    <w:p>
      <w:pPr>
        <w:pStyle w:val="BodyText"/>
      </w:pPr>
      <w:r>
        <w:t xml:space="preserve">Meridian Business Solutions Co., Ltd.</w:t>
      </w:r>
    </w:p>
    <w:p>
      <w:pPr>
        <w:pStyle w:val="BodyText"/>
      </w:pPr>
      <w:r>
        <w:t xml:space="preserve">Bangkok Office, Thailand</w:t>
      </w:r>
    </w:p>
    <w:p>
      <w:pPr>
        <w:pStyle w:val="BodyText"/>
      </w:pPr>
      <w:r>
        <w:t xml:space="preserve">Email: n.chaiyasit@meridianbs.co.th</w:t>
      </w:r>
    </w:p>
    <w:p>
      <w:pPr>
        <w:pStyle w:val="BodyText"/>
      </w:pPr>
      <w:r>
        <w:t xml:space="preserve">Ext. 4421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(THB)</w:t>
            </w:r>
          </w:p>
        </w:tc>
        <w:tc>
          <w:tcPr/>
          <w:p>
            <w:pPr>
              <w:pStyle w:val="Compact"/>
              <w:jc w:val="left"/>
            </w:pPr>
            <w:r>
              <w:t xml:space="preserve">Qty</w:t>
            </w:r>
          </w:p>
        </w:tc>
        <w:tc>
          <w:tcPr/>
          <w:p>
            <w:pPr>
              <w:pStyle w:val="Compact"/>
              <w:jc w:val="left"/>
            </w:pPr>
            <w:r>
              <w:t xml:space="preserve">Duration</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Retained Sales Executive Consultancy – Strategic Account Management for Thailand Bangkok market expansion, including quarterly business reviews and pipeline development</w:t>
            </w:r>
          </w:p>
        </w:tc>
        <w:tc>
          <w:tcPr/>
          <w:p>
            <w:pPr>
              <w:pStyle w:val="Compact"/>
              <w:jc w:val="left"/>
            </w:pPr>
            <w:r>
              <w:t xml:space="preserve">85,000</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255,000.00</w:t>
            </w:r>
          </w:p>
        </w:tc>
      </w:tr>
      <w:tr>
        <w:tc>
          <w:tcPr/>
          <w:p>
            <w:pPr>
              <w:pStyle w:val="Compact"/>
              <w:jc w:val="left"/>
            </w:pPr>
            <w:r>
              <w:t xml:space="preserve">2</w:t>
            </w:r>
          </w:p>
        </w:tc>
        <w:tc>
          <w:tcPr/>
          <w:p>
            <w:pPr>
              <w:pStyle w:val="Compact"/>
              <w:jc w:val="left"/>
            </w:pPr>
            <w:r>
              <w:t xml:space="preserve">Sales Executive Training Program – On-site delivery of advanced sales methodology workshops for 25 sales team members in the Bangkok headquarters</w:t>
            </w:r>
          </w:p>
        </w:tc>
        <w:tc>
          <w:tcPr/>
          <w:p>
            <w:pPr>
              <w:pStyle w:val="Compact"/>
              <w:jc w:val="left"/>
            </w:pPr>
            <w:r>
              <w:t xml:space="preserve">45,000</w:t>
            </w:r>
          </w:p>
        </w:tc>
        <w:tc>
          <w:tcPr/>
          <w:p>
            <w:pPr>
              <w:pStyle w:val="Compact"/>
              <w:jc w:val="left"/>
            </w:pPr>
            <w:r>
              <w:t xml:space="preserve">4</w:t>
            </w:r>
          </w:p>
        </w:tc>
        <w:tc>
          <w:tcPr/>
          <w:p>
            <w:pPr>
              <w:pStyle w:val="Compact"/>
              <w:jc w:val="left"/>
            </w:pPr>
            <w:r>
              <w:t xml:space="preserve">Days</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CRM Implementation &amp; Sales Executive Workflow Integration – Configuration of Salesforce platform tailored to Thailand Bangkok regional sales operations</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Monthly Sales Executive Performance Reporting – KPI dashboards, revenue forecasting, and competitive analysis for the Bangkok metropolitan region</w:t>
            </w:r>
          </w:p>
        </w:tc>
        <w:tc>
          <w:tcPr/>
          <w:p>
            <w:pPr>
              <w:pStyle w:val="Compact"/>
              <w:jc w:val="left"/>
            </w:pPr>
            <w:r>
              <w:t xml:space="preserve">28,000</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84,000.00</w:t>
            </w:r>
          </w:p>
        </w:tc>
      </w:tr>
      <w:tr>
        <w:tc>
          <w:tcPr/>
          <w:p>
            <w:pPr>
              <w:pStyle w:val="Compact"/>
              <w:jc w:val="left"/>
            </w:pPr>
            <w:r>
              <w:t xml:space="preserve">5</w:t>
            </w:r>
          </w:p>
        </w:tc>
        <w:tc>
          <w:tcPr/>
          <w:p>
            <w:pPr>
              <w:pStyle w:val="Compact"/>
              <w:jc w:val="left"/>
            </w:pPr>
            <w:r>
              <w:t xml:space="preserve">Travel &amp; Accommodation – Sales Executive on-site visits to client offices in Bangkok, Pattaya, and Chiang Mai for quarterly reviews</w:t>
            </w:r>
          </w:p>
        </w:tc>
        <w:tc>
          <w:tcPr/>
          <w:p>
            <w:pPr>
              <w:pStyle w:val="Compact"/>
              <w:jc w:val="left"/>
            </w:pPr>
            <w:r>
              <w:t xml:space="preserve">18,500</w:t>
            </w:r>
          </w:p>
        </w:tc>
        <w:tc>
          <w:tcPr/>
          <w:p>
            <w:pPr>
              <w:pStyle w:val="Compact"/>
              <w:jc w:val="left"/>
            </w:pPr>
            <w:r>
              <w:t xml:space="preserve">6</w:t>
            </w:r>
          </w:p>
        </w:tc>
        <w:tc>
          <w:tcPr/>
          <w:p>
            <w:pPr>
              <w:pStyle w:val="Compact"/>
              <w:jc w:val="left"/>
            </w:pPr>
            <w:r>
              <w:t xml:space="preserve">Trips</w:t>
            </w:r>
          </w:p>
        </w:tc>
        <w:tc>
          <w:tcPr/>
          <w:p>
            <w:pPr>
              <w:pStyle w:val="Compact"/>
              <w:jc w:val="left"/>
            </w:pPr>
            <w:r>
              <w:t xml:space="preserve">111,000.00</w:t>
            </w:r>
          </w:p>
        </w:tc>
      </w:tr>
      <w:tr>
        <w:tc>
          <w:tcPr/>
          <w:p>
            <w:pPr>
              <w:pStyle w:val="Compact"/>
              <w:jc w:val="left"/>
            </w:pPr>
            <w:r>
              <w:t xml:space="preserve">6</w:t>
            </w:r>
          </w:p>
        </w:tc>
        <w:tc>
          <w:tcPr/>
          <w:p>
            <w:pPr>
              <w:pStyle w:val="Compact"/>
              <w:jc w:val="left"/>
            </w:pPr>
            <w:r>
              <w:t xml:space="preserve">Ad-hoc Sales Executive Support – Emergency client escalation handling and contract negotiation assistance (Q2 2025)</w:t>
            </w:r>
          </w:p>
        </w:tc>
        <w:tc>
          <w:tcPr/>
          <w:p>
            <w:pPr>
              <w:pStyle w:val="Compact"/>
              <w:jc w:val="left"/>
            </w:pPr>
            <w:r>
              <w:t xml:space="preserve">15,000</w:t>
            </w:r>
          </w:p>
        </w:tc>
        <w:tc>
          <w:tcPr/>
          <w:p>
            <w:pPr>
              <w:pStyle w:val="Compact"/>
              <w:jc w:val="left"/>
            </w:pPr>
            <w:r>
              <w:t xml:space="preserve">4</w:t>
            </w:r>
          </w:p>
        </w:tc>
        <w:tc>
          <w:tcPr/>
          <w:p>
            <w:pPr>
              <w:pStyle w:val="Compact"/>
              <w:jc w:val="left"/>
            </w:pPr>
            <w:r>
              <w:t xml:space="preserve">Instances</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810,000.00</w:t>
            </w:r>
          </w:p>
        </w:tc>
      </w:tr>
      <w:tr>
        <w:tc>
          <w:tcPr/>
          <w:p>
            <w:pPr>
              <w:pStyle w:val="Compact"/>
              <w:jc w:val="left"/>
            </w:pPr>
            <w:r>
              <w:t xml:space="preserve">VAT (7% – Thailand Revenue Code)</w:t>
            </w:r>
          </w:p>
        </w:tc>
        <w:tc>
          <w:tcPr/>
          <w:p>
            <w:pPr>
              <w:pStyle w:val="Compact"/>
              <w:jc w:val="left"/>
            </w:pPr>
            <w:r>
              <w:t xml:space="preserve">56,700.00</w:t>
            </w:r>
          </w:p>
        </w:tc>
      </w:tr>
      <w:tr>
        <w:tc>
          <w:tcPr/>
          <w:p>
            <w:pPr>
              <w:pStyle w:val="Compact"/>
              <w:jc w:val="left"/>
            </w:pPr>
            <w:r>
              <w:t xml:space="preserve">Early Payment Discount (2% – paid before 1 July 2025)</w:t>
            </w:r>
          </w:p>
        </w:tc>
        <w:tc>
          <w:tcPr/>
          <w:p>
            <w:pPr>
              <w:pStyle w:val="Compact"/>
              <w:jc w:val="left"/>
            </w:pPr>
            <w:r>
              <w:t xml:space="preserve">(16,200.00)</w:t>
            </w:r>
          </w:p>
        </w:tc>
      </w:tr>
      <w:tr>
        <w:tc>
          <w:tcPr/>
          <w:p>
            <w:pPr>
              <w:pStyle w:val="Compact"/>
              <w:jc w:val="left"/>
            </w:pPr>
            <w:r>
              <w:t xml:space="preserve">Grand Total Due (THB)</w:t>
            </w:r>
          </w:p>
        </w:tc>
        <w:tc>
          <w:tcPr/>
          <w:p>
            <w:pPr>
              <w:pStyle w:val="Compact"/>
              <w:jc w:val="left"/>
            </w:pPr>
            <w:r>
              <w:t xml:space="preserve">850,500.00</w:t>
            </w:r>
          </w:p>
        </w:tc>
      </w:tr>
    </w:tbl>
    <w:bookmarkStart w:id="24" w:name="X97826d6c6a0996d53d6ae5d83d41c87974259b3"/>
    <w:p>
      <w:pPr>
        <w:pStyle w:val="Heading3"/>
      </w:pPr>
      <w:r>
        <w:t xml:space="preserve">Payment Instructions – Thailand Bangkok Banking Details</w:t>
      </w:r>
    </w:p>
    <w:p>
      <w:pPr>
        <w:pStyle w:val="FirstParagraph"/>
      </w:pPr>
      <w:r>
        <w:rPr>
          <w:bCs/>
          <w:b/>
        </w:rPr>
        <w:t xml:space="preserve">Bank:</w:t>
      </w:r>
      <w:r>
        <w:t xml:space="preserve"> </w:t>
      </w:r>
      <w:r>
        <w:t xml:space="preserve">Siam Commercial Bank (SCB), Bangkok Central Branch</w:t>
      </w:r>
    </w:p>
    <w:p>
      <w:pPr>
        <w:pStyle w:val="BodyText"/>
      </w:pPr>
      <w:r>
        <w:rPr>
          <w:bCs/>
          <w:b/>
        </w:rPr>
        <w:t xml:space="preserve">Account Name:</w:t>
      </w:r>
      <w:r>
        <w:t xml:space="preserve"> </w:t>
      </w:r>
      <w:r>
        <w:t xml:space="preserve">Meridian Business Solutions Co., Ltd.</w:t>
      </w:r>
    </w:p>
    <w:p>
      <w:pPr>
        <w:pStyle w:val="BodyText"/>
      </w:pPr>
      <w:r>
        <w:rPr>
          <w:bCs/>
          <w:b/>
        </w:rPr>
        <w:t xml:space="preserve">Account Number:</w:t>
      </w:r>
      <w:r>
        <w:t xml:space="preserve"> </w:t>
      </w:r>
      <w:r>
        <w:t xml:space="preserve">012-3-45678-9</w:t>
      </w:r>
    </w:p>
    <w:p>
      <w:pPr>
        <w:pStyle w:val="BodyText"/>
      </w:pPr>
      <w:r>
        <w:rPr>
          <w:bCs/>
          <w:b/>
        </w:rPr>
        <w:t xml:space="preserve">SWIFT Code:</w:t>
      </w:r>
      <w:r>
        <w:t xml:space="preserve"> </w:t>
      </w:r>
      <w:r>
        <w:t xml:space="preserve">SIBLTHB0XXX</w:t>
      </w:r>
    </w:p>
    <w:p>
      <w:pPr>
        <w:pStyle w:val="BodyText"/>
      </w:pPr>
      <w:r>
        <w:rPr>
          <w:bCs/>
          <w:b/>
        </w:rPr>
        <w:t xml:space="preserve">Reference:</w:t>
      </w:r>
      <w:r>
        <w:t xml:space="preserve"> </w:t>
      </w:r>
      <w:r>
        <w:t xml:space="preserve">Please cite Invoice No. MBS-2025-04871 in all payment communications.</w:t>
      </w:r>
    </w:p>
    <w:p>
      <w:pPr>
        <w:pStyle w:val="BodyText"/>
      </w:pPr>
      <w:r>
        <w:rPr>
          <w:bCs/>
          <w:b/>
        </w:rPr>
        <w:t xml:space="preserve">Payment Terms:</w:t>
      </w:r>
      <w:r>
        <w:t xml:space="preserve"> </w:t>
      </w:r>
      <w:r>
        <w:t xml:space="preserve">Net 30 days from the date of this Invoice. Late payments shall accrue interest at 1.5% per month in accordance with Thai commercial law.</w:t>
      </w:r>
    </w:p>
    <w:bookmarkEnd w:id="24"/>
    <w:bookmarkStart w:id="25" w:name="important-notes-terms"/>
    <w:p>
      <w:pPr>
        <w:pStyle w:val="Heading3"/>
      </w:pPr>
      <w:r>
        <w:t xml:space="preserve">Important Notes &amp; Terms</w:t>
      </w:r>
    </w:p>
    <w:p>
      <w:pPr>
        <w:pStyle w:val="FirstParagraph"/>
      </w:pPr>
      <w:r>
        <w:t xml:space="preserve">1. This Invoice has been issued by the designated Sales Executive, Mr. Nattapong Chaiyasit, who holds full authority to represent Meridian Business Solutions Co., Ltd. for all client engagements within Thailand Bangkok and surrounding provinces.</w:t>
      </w:r>
    </w:p>
    <w:p>
      <w:pPr>
        <w:pStyle w:val="BodyText"/>
      </w:pPr>
      <w:r>
        <w:t xml:space="preserve">2. All services rendered under this Invoice were performed in compliance with the Thai Labour Protection Act B.E. 2541 (1998) and applicable regulations governing professional services in Bangkok.</w:t>
      </w:r>
    </w:p>
    <w:p>
      <w:pPr>
        <w:pStyle w:val="BodyText"/>
      </w:pPr>
      <w:r>
        <w:t xml:space="preserve">3. The Sales Executive services described herein are non-transferable and were exclusively provided to Thailand Bangkok Enterprise Group PCL for the stated service period.</w:t>
      </w:r>
    </w:p>
    <w:p>
      <w:pPr>
        <w:pStyle w:val="BodyText"/>
      </w:pPr>
      <w:r>
        <w:t xml:space="preserve">4. This Invoice constitutes a valid tax document under the Thai Revenue Department's e-Tax Invoice guidelines. A digital copy has been transmitted via the client's procurement portal.</w:t>
      </w:r>
    </w:p>
    <w:p>
      <w:pPr>
        <w:pStyle w:val="BodyText"/>
      </w:pPr>
      <w:r>
        <w:t xml:space="preserve">5. Any disputes arising from this Invoice shall be governed by the laws of the Kingdom of Thailand and adjudicated in the courts of Bangkok, Thailand.</w:t>
      </w:r>
    </w:p>
    <w:p>
      <w:pPr>
        <w:pStyle w:val="BodyText"/>
      </w:pPr>
      <w:r>
        <w:t xml:space="preserve">6. The Sales Executive is available for a post-service debrief meeting within 14 business days of Invoice settlement to review performance outcomes and discuss future engagement opportunities in the Thailand Bangkok market.</w:t>
      </w:r>
    </w:p>
    <w:bookmarkEnd w:id="25"/>
    <w:p>
      <w:pPr>
        <w:pStyle w:val="BodyText"/>
      </w:pPr>
      <w:r>
        <w:rPr>
          <w:bCs/>
          <w:b/>
        </w:rPr>
        <w:t xml:space="preserve">Meridian Business Solutions Co., Ltd.</w:t>
      </w:r>
      <w:r>
        <w:t xml:space="preserve"> </w:t>
      </w:r>
      <w:r>
        <w:t xml:space="preserve">– Registered in Thailand, Company Registration No. 0105556789012</w:t>
      </w:r>
    </w:p>
    <w:p>
      <w:pPr>
        <w:pStyle w:val="BodyText"/>
      </w:pPr>
      <w:r>
        <w:t xml:space="preserve">Head Office: 128 Sukhumvit Road, Khlong Toei Nuea, Watthana, Bangkok 10110, Thailand</w:t>
      </w:r>
    </w:p>
    <w:p>
      <w:pPr>
        <w:pStyle w:val="BodyText"/>
      </w:pPr>
      <w:r>
        <w:t xml:space="preserve">This Invoice was generated electronically on 15 June 2025. For queries, contact the Sales Executive directly or email billing@meridianbs.co.th.</w:t>
      </w:r>
    </w:p>
    <w:p>
      <w:pPr>
        <w:pStyle w:val="BodyText"/>
      </w:pPr>
      <w:r>
        <w:t xml:space="preserve">Thank you for your business. We value our partnership with Thailand Bangkok Enterprise Group PCL and look forward to continued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Thailand Bangkok</dc:title>
  <dc:creator/>
  <dc:language>en</dc:language>
  <cp:keywords/>
  <dcterms:created xsi:type="dcterms:W3CDTF">2026-10-10T12:43:20Z</dcterms:created>
  <dcterms:modified xsi:type="dcterms:W3CDTF">2026-10-10T12:43:20Z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