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ridian-business-solutions-ltd."/>
    <w:p>
      <w:pPr>
        <w:pStyle w:val="Heading1"/>
      </w:pPr>
      <w:r>
        <w:t xml:space="preserve">Meridian Business Solutions Ltd.</w:t>
      </w:r>
    </w:p>
    <w:p>
      <w:pPr>
        <w:pStyle w:val="FirstParagraph"/>
      </w:pPr>
      <w:r>
        <w:t xml:space="preserve">Çankaya Avenue, No. 142, Kızılay</w:t>
      </w:r>
    </w:p>
    <w:p>
      <w:pPr>
        <w:pStyle w:val="BodyText"/>
      </w:pPr>
      <w:r>
        <w:t xml:space="preserve">Ankara 06680, Turkey</w:t>
      </w:r>
    </w:p>
    <w:p>
      <w:pPr>
        <w:pStyle w:val="BodyText"/>
      </w:pPr>
      <w:r>
        <w:t xml:space="preserve">Tax ID (VKN): 1234567890</w:t>
      </w:r>
    </w:p>
    <w:p>
      <w:pPr>
        <w:pStyle w:val="BodyText"/>
      </w:pPr>
      <w:r>
        <w:t xml:space="preserve">Phone: +90 312 456 7890</w:t>
      </w:r>
    </w:p>
    <w:p>
      <w:pPr>
        <w:pStyle w:val="BodyText"/>
      </w:pPr>
      <w:r>
        <w:t xml:space="preserve">Email: billing@meridiansolutions.com.tr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Anatolia Retail Group A.Ş.</w:t>
      </w:r>
    </w:p>
    <w:p>
      <w:pPr>
        <w:pStyle w:val="BodyText"/>
      </w:pPr>
      <w:r>
        <w:t xml:space="preserve">Atatürk Bulvarı, No. 88</w:t>
      </w:r>
    </w:p>
    <w:p>
      <w:pPr>
        <w:pStyle w:val="BodyText"/>
      </w:pPr>
      <w:r>
        <w:t xml:space="preserve">Çankaya, Ankara 06700, Turkey</w:t>
      </w:r>
    </w:p>
    <w:p>
      <w:pPr>
        <w:pStyle w:val="BodyText"/>
      </w:pPr>
      <w:r>
        <w:t xml:space="preserve">Tax ID (VKN): 9876543210</w:t>
      </w:r>
    </w:p>
    <w:p>
      <w:pPr>
        <w:pStyle w:val="BodyText"/>
      </w:pPr>
      <w:r>
        <w:t xml:space="preserve">Attn: Mr. Emre Yılmaz, Procurement Director</w:t>
      </w:r>
    </w:p>
    <w:p>
      <w:pPr>
        <w:pStyle w:val="BodyText"/>
      </w:pPr>
      <w:r>
        <w:t xml:space="preserve">Email: e.yilmaz@anatoliaretail.com.tr</w:t>
      </w:r>
    </w:p>
    <w:bookmarkEnd w:id="22"/>
    <w:bookmarkStart w:id="23" w:name="service-provider"/>
    <w:p>
      <w:pPr>
        <w:pStyle w:val="Heading3"/>
      </w:pPr>
      <w:r>
        <w:t xml:space="preserve">Service Provider</w:t>
      </w:r>
    </w:p>
    <w:p>
      <w:pPr>
        <w:pStyle w:val="FirstParagraph"/>
      </w:pPr>
      <w:r>
        <w:rPr>
          <w:bCs/>
          <w:b/>
        </w:rPr>
        <w:t xml:space="preserve">Meridian Business Solutions Ltd.</w:t>
      </w:r>
    </w:p>
    <w:p>
      <w:pPr>
        <w:pStyle w:val="BodyText"/>
      </w:pPr>
      <w:r>
        <w:t xml:space="preserve">Çankaya Avenue, No. 142, Kızılay</w:t>
      </w:r>
    </w:p>
    <w:p>
      <w:pPr>
        <w:pStyle w:val="BodyText"/>
      </w:pPr>
      <w:r>
        <w:t xml:space="preserve">Ankara 06680, Turkey</w:t>
      </w:r>
    </w:p>
    <w:p>
      <w:pPr>
        <w:pStyle w:val="BodyText"/>
      </w:pPr>
      <w:r>
        <w:t xml:space="preserve">Tax ID (VKN): 1234567890</w:t>
      </w:r>
    </w:p>
    <w:p>
      <w:pPr>
        <w:pStyle w:val="BodyText"/>
      </w:pPr>
      <w:r>
        <w:t xml:space="preserve">Attn: Ms. Ayşe Demir, Account Manager</w:t>
      </w:r>
    </w:p>
    <w:p>
      <w:pPr>
        <w:pStyle w:val="BodyText"/>
      </w:pPr>
      <w:r>
        <w:t xml:space="preserve">Email: a.demir@meridiansolutions.com.tr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Sales Executive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Monthly Sales Executive engagement – B2B client acquisition and pipeline development for the Ankara metropolitan region. Includes prospecting, lead qualification, and initial commercial negotiations.</w:t>
            </w:r>
          </w:p>
        </w:tc>
        <w:tc>
          <w:tcPr/>
          <w:p>
            <w:pPr>
              <w:pStyle w:val="Compact"/>
              <w:jc w:val="left"/>
            </w:pPr>
            <w:r>
              <w:t xml:space="preserve">Can Kaya</w:t>
            </w:r>
          </w:p>
        </w:tc>
        <w:tc>
          <w:tcPr/>
          <w:p>
            <w:pPr>
              <w:pStyle w:val="Compact"/>
              <w:jc w:val="left"/>
            </w:pPr>
            <w:r>
              <w:t xml:space="preserve">160</w:t>
            </w:r>
          </w:p>
        </w:tc>
        <w:tc>
          <w:tcPr/>
          <w:p>
            <w:pPr>
              <w:pStyle w:val="Compact"/>
              <w:jc w:val="left"/>
            </w:pPr>
            <w:r>
              <w:t xml:space="preserve">1,250.00</w:t>
            </w:r>
          </w:p>
        </w:tc>
        <w:tc>
          <w:tcPr/>
          <w:p>
            <w:pPr>
              <w:pStyle w:val="Compact"/>
              <w:jc w:val="left"/>
            </w:pPr>
            <w:r>
              <w:t xml:space="preserve">200,000.00</w:t>
            </w:r>
          </w:p>
        </w:tc>
      </w:tr>
      <w:tr>
        <w:tc>
          <w:tcPr/>
          <w:p>
            <w:pPr>
              <w:pStyle w:val="Compact"/>
              <w:jc w:val="left"/>
            </w:pPr>
            <w:r>
              <w:t xml:space="preserve">2</w:t>
            </w:r>
          </w:p>
        </w:tc>
        <w:tc>
          <w:tcPr/>
          <w:p>
            <w:pPr>
              <w:pStyle w:val="Compact"/>
              <w:jc w:val="left"/>
            </w:pPr>
            <w:r>
              <w:t xml:space="preserve">Sales Executive performance reporting and CRM data management. Weekly activity logs, conversion funnel analysis, and monthly KPI dashboards delivered to the Ankara headquarters team.</w:t>
            </w:r>
          </w:p>
        </w:tc>
        <w:tc>
          <w:tcPr/>
          <w:p>
            <w:pPr>
              <w:pStyle w:val="Compact"/>
              <w:jc w:val="left"/>
            </w:pPr>
            <w:r>
              <w:t xml:space="preserve">Can Kaya</w:t>
            </w:r>
          </w:p>
        </w:tc>
        <w:tc>
          <w:tcPr/>
          <w:p>
            <w:pPr>
              <w:pStyle w:val="Compact"/>
              <w:jc w:val="left"/>
            </w:pPr>
            <w:r>
              <w:t xml:space="preserve">24</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3</w:t>
            </w:r>
          </w:p>
        </w:tc>
        <w:tc>
          <w:tcPr/>
          <w:p>
            <w:pPr>
              <w:pStyle w:val="Compact"/>
              <w:jc w:val="left"/>
            </w:pPr>
            <w:r>
              <w:t xml:space="preserve">On-site Sales Executive support at the Anatolia Retail Group flagship store in Kızılay, Ankara. Customer engagement, product demonstrations, and closing of retail transactions during peak trading hours.</w:t>
            </w:r>
          </w:p>
        </w:tc>
        <w:tc>
          <w:tcPr/>
          <w:p>
            <w:pPr>
              <w:pStyle w:val="Compact"/>
              <w:jc w:val="left"/>
            </w:pPr>
            <w:r>
              <w:t xml:space="preserve">Elif Şahin</w:t>
            </w:r>
          </w:p>
        </w:tc>
        <w:tc>
          <w:tcPr/>
          <w:p>
            <w:pPr>
              <w:pStyle w:val="Compact"/>
              <w:jc w:val="left"/>
            </w:pPr>
            <w:r>
              <w:t xml:space="preserve">80</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4</w:t>
            </w:r>
          </w:p>
        </w:tc>
        <w:tc>
          <w:tcPr/>
          <w:p>
            <w:pPr>
              <w:pStyle w:val="Compact"/>
              <w:jc w:val="left"/>
            </w:pPr>
            <w:r>
              <w:t xml:space="preserve">Regional Sales Executive training and onboarding for two newly hired field representatives in the Eskişehir and Konya territories. Curriculum covers product knowledge, objection handling, and CRM proficiency.</w:t>
            </w:r>
          </w:p>
        </w:tc>
        <w:tc>
          <w:tcPr/>
          <w:p>
            <w:pPr>
              <w:pStyle w:val="Compact"/>
              <w:jc w:val="left"/>
            </w:pPr>
            <w:r>
              <w:t xml:space="preserve">Elif Şahin</w:t>
            </w:r>
          </w:p>
        </w:tc>
        <w:tc>
          <w:tcPr/>
          <w:p>
            <w:pPr>
              <w:pStyle w:val="Compact"/>
              <w:jc w:val="left"/>
            </w:pPr>
            <w:r>
              <w:t xml:space="preserve">16</w:t>
            </w:r>
          </w:p>
        </w:tc>
        <w:tc>
          <w:tcPr/>
          <w:p>
            <w:pPr>
              <w:pStyle w:val="Compact"/>
              <w:jc w:val="left"/>
            </w:pPr>
            <w:r>
              <w:t xml:space="preserve">1,800.00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Quarterly Sales Executive strategy review and market intelligence briefing for the Central Anatolia region. Presentation delivered to the Ankara executive board covering competitor analysis, pricing benchmarks, and Q3 pipeline projections.</w:t>
            </w:r>
          </w:p>
        </w:tc>
        <w:tc>
          <w:tcPr/>
          <w:p>
            <w:pPr>
              <w:pStyle w:val="Compact"/>
              <w:jc w:val="left"/>
            </w:pPr>
            <w:r>
              <w:t xml:space="preserve">Can Kaya</w:t>
            </w:r>
          </w:p>
        </w:tc>
        <w:tc>
          <w:tcPr/>
          <w:p>
            <w:pPr>
              <w:pStyle w:val="Compact"/>
              <w:jc w:val="left"/>
            </w:pPr>
            <w:r>
              <w:t xml:space="preserve">8</w:t>
            </w:r>
          </w:p>
        </w:tc>
        <w:tc>
          <w:tcPr/>
          <w:p>
            <w:pPr>
              <w:pStyle w:val="Compact"/>
              <w:jc w:val="left"/>
            </w:pPr>
            <w:r>
              <w:t xml:space="preserve">2,200.00</w:t>
            </w:r>
          </w:p>
        </w:tc>
        <w:tc>
          <w:tcPr/>
          <w:p>
            <w:pPr>
              <w:pStyle w:val="Compact"/>
              <w:jc w:val="left"/>
            </w:pPr>
            <w:r>
              <w:t xml:space="preserve">17,600.00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369,200.00 TRY</w:t>
            </w:r>
          </w:p>
        </w:tc>
      </w:tr>
      <w:tr>
        <w:tc>
          <w:tcPr/>
          <w:p>
            <w:pPr>
              <w:pStyle w:val="Compact"/>
              <w:jc w:val="left"/>
            </w:pPr>
            <w:r>
              <w:t xml:space="preserve">VAT (KDV) – 20%</w:t>
            </w:r>
          </w:p>
        </w:tc>
        <w:tc>
          <w:tcPr/>
          <w:p>
            <w:pPr>
              <w:pStyle w:val="Compact"/>
              <w:jc w:val="right"/>
            </w:pPr>
            <w:r>
              <w:t xml:space="preserve">73,840.00 TRY</w:t>
            </w:r>
          </w:p>
        </w:tc>
      </w:tr>
      <w:tr>
        <w:tc>
          <w:tcPr/>
          <w:p>
            <w:pPr>
              <w:pStyle w:val="Compact"/>
              <w:jc w:val="left"/>
            </w:pPr>
            <w:r>
              <w:t xml:space="preserve">Withholding Tax (Stopaj) – 5%</w:t>
            </w:r>
          </w:p>
        </w:tc>
        <w:tc>
          <w:tcPr/>
          <w:p>
            <w:pPr>
              <w:pStyle w:val="Compact"/>
              <w:jc w:val="right"/>
            </w:pPr>
            <w:r>
              <w:t xml:space="preserve">(18,460.00) TRY</w:t>
            </w:r>
          </w:p>
        </w:tc>
      </w:tr>
      <w:tr>
        <w:tc>
          <w:tcPr/>
          <w:p>
            <w:pPr>
              <w:pStyle w:val="Compact"/>
              <w:jc w:val="left"/>
            </w:pPr>
            <w:r>
              <w:t xml:space="preserve">Grand Total Due</w:t>
            </w:r>
          </w:p>
        </w:tc>
        <w:tc>
          <w:tcPr/>
          <w:p>
            <w:pPr>
              <w:pStyle w:val="Compact"/>
              <w:jc w:val="right"/>
            </w:pPr>
            <w:r>
              <w:t xml:space="preserve">424,580.00 TRY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Ziraat Bankası A.Ş. – Kızılay Branch, Ankara</w:t>
      </w:r>
    </w:p>
    <w:p>
      <w:pPr>
        <w:pStyle w:val="BodyText"/>
      </w:pPr>
      <w:r>
        <w:rPr>
          <w:bCs/>
          <w:b/>
        </w:rPr>
        <w:t xml:space="preserve">Account Name:</w:t>
      </w:r>
      <w:r>
        <w:t xml:space="preserve"> </w:t>
      </w:r>
      <w:r>
        <w:t xml:space="preserve">Meridian Business Solutions Ltd.</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MS-2025-00472</w:t>
      </w:r>
    </w:p>
    <w:p>
      <w:pPr>
        <w:pStyle w:val="BodyText"/>
      </w:pPr>
      <w:r>
        <w:rPr>
          <w:bCs/>
          <w:b/>
        </w:rPr>
        <w:t xml:space="preserve">Payment Method:</w:t>
      </w:r>
      <w:r>
        <w:t xml:space="preserve"> </w:t>
      </w:r>
      <w:r>
        <w:t xml:space="preserve">Bank Transfer (EFT/Havale) – Please ensure the invoice number is included in the transfer reference.</w:t>
      </w:r>
    </w:p>
    <w:p>
      <w:pPr>
        <w:pStyle w:val="BodyText"/>
      </w:pPr>
      <w:r>
        <w:rPr>
          <w:bCs/>
          <w:b/>
        </w:rPr>
        <w:t xml:space="preserve">Payment Due:</w:t>
      </w:r>
      <w:r>
        <w:t xml:space="preserve"> </w:t>
      </w:r>
      <w:r>
        <w:t xml:space="preserve">Within 15 calendar days from the issue date, i.e., no later than 30 June 2025.</w:t>
      </w:r>
    </w:p>
    <w:bookmarkEnd w:id="24"/>
    <w:bookmarkStart w:id="25" w:name="notes-and-remarks"/>
    <w:p>
      <w:pPr>
        <w:pStyle w:val="Heading3"/>
      </w:pPr>
      <w:r>
        <w:t xml:space="preserve">Notes and Remarks</w:t>
      </w:r>
    </w:p>
    <w:p>
      <w:pPr>
        <w:pStyle w:val="FirstParagraph"/>
      </w:pPr>
      <w:r>
        <w:t xml:space="preserve">This invoice covers the professional services rendered by our dedicated Sales Executive team to Anatolia Retail Group A.Ş. during the month of May 2025. All Sales Executive personnel assigned to this engagement are based in Ankara, Turkey, and operate in full compliance with the Turkish Labor Law (4857) and applicable commercial regulations.</w:t>
      </w:r>
    </w:p>
    <w:p>
      <w:pPr>
        <w:pStyle w:val="BodyText"/>
      </w:pPr>
      <w:r>
        <w:t xml:space="preserve">The Sales Executive services described herein include both remote and on-site work performed within the Ankara metropolitan area and designated regional territories. All deliverables, including pipeline reports, KPI dashboards, and strategy presentations, have been submitted to the client's Ankara headquarters in accordance with the agreed service-level schedule.</w:t>
      </w:r>
    </w:p>
    <w:p>
      <w:pPr>
        <w:pStyle w:val="BodyText"/>
      </w:pPr>
      <w:r>
        <w:t xml:space="preserve">Please note that the withholding tax (stopaj) deduction of 5% has been applied in accordance with Article 94 of the Turkish Income Tax Law (GVK). The corresponding withholding tax certificate will be issued and filed with the Ankara Regional Tax Office (Ankara Vergi Dairesi) within the statutory deadline.</w:t>
      </w:r>
    </w:p>
    <w:p>
      <w:pPr>
        <w:pStyle w:val="BodyText"/>
      </w:pPr>
      <w:r>
        <w:t xml:space="preserve">Should you have any questions regarding this invoice or the Sales Executive services rendered, please contact our billing department at billing@meridiansolutions.com.tr or call +90 312 456 7890, Monday through Friday, 09:00–17:30 (Ankara time, GMT+3).</w:t>
      </w:r>
    </w:p>
    <w:bookmarkEnd w:id="25"/>
    <w:bookmarkStart w:id="26" w:name="terms-and-conditions"/>
    <w:p>
      <w:pPr>
        <w:pStyle w:val="Heading3"/>
      </w:pPr>
      <w:r>
        <w:t xml:space="preserve">Terms and Conditions</w:t>
      </w:r>
    </w:p>
    <w:p>
      <w:pPr>
        <w:numPr>
          <w:ilvl w:val="0"/>
          <w:numId w:val="1001"/>
        </w:numPr>
        <w:pStyle w:val="Compact"/>
      </w:pPr>
      <w:r>
        <w:t xml:space="preserve">This invoice is governed by the laws of the Republic of Turkey. Any disputes arising from this invoice or the underlying Sales Executive service agreement shall be subject to the exclusive jurisdiction of the courts and arbitration centers in Ankara, Turkey.</w:t>
      </w:r>
    </w:p>
    <w:p>
      <w:pPr>
        <w:numPr>
          <w:ilvl w:val="0"/>
          <w:numId w:val="1001"/>
        </w:numPr>
        <w:pStyle w:val="Compact"/>
      </w:pPr>
      <w:r>
        <w:t xml:space="preserve">Payment is due within fifteen (15) calendar days of the invoice issue date. Late payments shall accrue interest at the statutory rate (gecikme faizi) as determined by the Central Bank of the Republic of Turkey (Türkiye Cumhuriyet Merkez Bankası), calculated on a daily basis from the due date until full settlement.</w:t>
      </w:r>
    </w:p>
    <w:p>
      <w:pPr>
        <w:numPr>
          <w:ilvl w:val="0"/>
          <w:numId w:val="1001"/>
        </w:numPr>
        <w:pStyle w:val="Compact"/>
      </w:pPr>
      <w:r>
        <w:t xml:space="preserve">The Sales Executive services described in this invoice are provided on a non-exclusive basis unless otherwise specified in the master service agreement dated 01 January 2025. No intellectual property rights are transferred to the client beyond the specific deliverables enumerated in this invoice.</w:t>
      </w:r>
    </w:p>
    <w:p>
      <w:pPr>
        <w:numPr>
          <w:ilvl w:val="0"/>
          <w:numId w:val="1001"/>
        </w:numPr>
        <w:pStyle w:val="Compact"/>
      </w:pPr>
      <w:r>
        <w:t xml:space="preserve">All personal data processed in connection with this invoice and the associated Sales Executive engagement shall be handled in compliance with the Turkish Personal Data Protection Law (KVKK – Law No. 6698) and the relevant European data protection standards applicable to cross-border operations.</w:t>
      </w:r>
    </w:p>
    <w:p>
      <w:pPr>
        <w:numPr>
          <w:ilvl w:val="0"/>
          <w:numId w:val="1001"/>
        </w:numPr>
        <w:pStyle w:val="Compact"/>
      </w:pPr>
      <w:r>
        <w:t xml:space="preserve">This invoice constitutes a valid fiscal document (fatura) under the Turkish Commercial Code (Türk Ticaret Kanunu) and the relevant regulations of the Ministry of Finance of the Republic of Turkey. An electronic copy of this invoice, transmitted via the e-İnvoice (e-Fatura) system, carries the same legal standing as a printed original.</w:t>
      </w:r>
    </w:p>
    <w:p>
      <w:pPr>
        <w:numPr>
          <w:ilvl w:val="0"/>
          <w:numId w:val="1001"/>
        </w:numPr>
        <w:pStyle w:val="Compact"/>
      </w:pPr>
      <w:r>
        <w:t xml:space="preserve">Any amendments to the scope of Sales Executive services, personnel assignments, or billing rates must be documented in a written change order signed by both parties prior to the commencement of the additional work.</w:t>
      </w:r>
    </w:p>
    <w:bookmarkEnd w:id="26"/>
    <w:p>
      <w:pPr>
        <w:pStyle w:val="FirstParagraph"/>
      </w:pPr>
      <w:r>
        <w:rPr>
          <w:bCs/>
          <w:b/>
        </w:rPr>
        <w:t xml:space="preserve">Meridian Business Solutions Ltd.</w:t>
      </w:r>
      <w:r>
        <w:t xml:space="preserve"> </w:t>
      </w:r>
      <w:r>
        <w:t xml:space="preserve">– Çankaya Avenue, No. 142, Kızılay, Ankara 06680, Turkey</w:t>
      </w:r>
    </w:p>
    <w:p>
      <w:pPr>
        <w:pStyle w:val="BodyText"/>
      </w:pPr>
      <w:r>
        <w:t xml:space="preserve">Tax ID (VKN): 1234567890 | Trade Registry: Ankara Ticaret Sicili No. 54321</w:t>
      </w:r>
    </w:p>
    <w:p>
      <w:pPr>
        <w:pStyle w:val="BodyText"/>
      </w:pPr>
      <w:r>
        <w:t xml:space="preserve">This invoice was generated electronically on 15 June 2025 and is valid without a physical signature in accordance with Turkish e-commerce and e-invoicing regulations.</w:t>
      </w:r>
    </w:p>
    <w:p>
      <w:pPr>
        <w:pStyle w:val="BodyText"/>
      </w:pPr>
      <w:r>
        <w:t xml:space="preserve">Thank you for your business. We value our partnership with Anatolia Retail Group A.Ş. and look forward to continuing our Sales Executive collaboration in Ankara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Ankara, Turkey</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