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sales-consulting-group"/>
    <w:p>
      <w:pPr>
        <w:pStyle w:val="Heading1"/>
      </w:pPr>
      <w:r>
        <w:t xml:space="preserve">Meridian Sales Consulting Group</w:t>
      </w:r>
    </w:p>
    <w:p>
      <w:pPr>
        <w:pStyle w:val="FirstParagraph"/>
      </w:pPr>
      <w:r>
        <w:t xml:space="preserve">1285 Avenue of the Americas, Suite 4200</w:t>
      </w:r>
    </w:p>
    <w:p>
      <w:pPr>
        <w:pStyle w:val="BodyText"/>
      </w:pPr>
      <w:r>
        <w:t xml:space="preserve">United States New York City, NY 10020</w:t>
      </w:r>
    </w:p>
    <w:p>
      <w:pPr>
        <w:pStyle w:val="BodyText"/>
      </w:pPr>
      <w:r>
        <w:t xml:space="preserve">Tel: (212) 555-0147 | Email: billing@meridiansalesconsulting.com</w:t>
      </w:r>
    </w:p>
    <w:p>
      <w:pPr>
        <w:pStyle w:val="BodyText"/>
      </w:pPr>
      <w:r>
        <w:t xml:space="preserve">EIN: 84-2917365</w:t>
      </w:r>
    </w:p>
    <w:p>
      <w:pPr>
        <w:pStyle w:val="BodyText"/>
      </w:pPr>
      <w:r>
        <w:t xml:space="preserve">Licensed in United States New York City</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MSC-2025-04872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Apex Corporate Solutions, Inc.</w:t>
      </w:r>
    </w:p>
    <w:p>
      <w:pPr>
        <w:pStyle w:val="BodyText"/>
      </w:pPr>
      <w:r>
        <w:t xml:space="preserve">Attn: Mr. David R. Thornton, VP of Operations</w:t>
      </w:r>
    </w:p>
    <w:p>
      <w:pPr>
        <w:pStyle w:val="BodyText"/>
      </w:pPr>
      <w:r>
        <w:t xml:space="preserve">200 Park Avenue, 38th Floor</w:t>
      </w:r>
    </w:p>
    <w:p>
      <w:pPr>
        <w:pStyle w:val="BodyText"/>
      </w:pPr>
      <w:r>
        <w:t xml:space="preserve">United States New York City, NY 10166</w:t>
      </w:r>
    </w:p>
    <w:p>
      <w:pPr>
        <w:pStyle w:val="BodyText"/>
      </w:pPr>
      <w:r>
        <w:t xml:space="preserve">Tel: (212) 555-0892</w:t>
      </w:r>
    </w:p>
    <w:p>
      <w:pPr>
        <w:pStyle w:val="BodyText"/>
      </w:pPr>
      <w:r>
        <w:t xml:space="preserve">Email: d.thornton@apexcorporatesolutions.com</w:t>
      </w:r>
    </w:p>
    <w:bookmarkEnd w:id="22"/>
    <w:bookmarkStart w:id="23" w:name="prepared-by"/>
    <w:p>
      <w:pPr>
        <w:pStyle w:val="Heading3"/>
      </w:pPr>
      <w:r>
        <w:t xml:space="preserve">Prepared By</w:t>
      </w:r>
    </w:p>
    <w:p>
      <w:pPr>
        <w:pStyle w:val="FirstParagraph"/>
      </w:pPr>
      <w:r>
        <w:rPr>
          <w:bCs/>
          <w:b/>
        </w:rPr>
        <w:t xml:space="preserve">Sarah M. Whitfield</w:t>
      </w:r>
    </w:p>
    <w:p>
      <w:pPr>
        <w:pStyle w:val="BodyText"/>
      </w:pPr>
      <w:r>
        <w:t xml:space="preserve">Sales Executive, Senior Account Manager</w:t>
      </w:r>
    </w:p>
    <w:p>
      <w:pPr>
        <w:pStyle w:val="BodyText"/>
      </w:pPr>
      <w:r>
        <w:t xml:space="preserve">Meridian Sales Consulting Group</w:t>
      </w:r>
    </w:p>
    <w:p>
      <w:pPr>
        <w:pStyle w:val="BodyText"/>
      </w:pPr>
      <w:r>
        <w:t xml:space="preserve">United States New York City, NY 10020</w:t>
      </w:r>
    </w:p>
    <w:p>
      <w:pPr>
        <w:pStyle w:val="BodyText"/>
      </w:pPr>
      <w:r>
        <w:t xml:space="preserve">License No.: NY-SE-2024-00918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Sales Executive strategic account development and client acquisition planning for Q2 fiscal period. Includes market analysis, competitor benchmarking, and pipeline generation across the United States New York City metropolitan area.</w:t>
            </w:r>
          </w:p>
        </w:tc>
        <w:tc>
          <w:tcPr/>
          <w:p>
            <w:pPr>
              <w:pStyle w:val="Compact"/>
              <w:jc w:val="left"/>
            </w:pPr>
            <w:r>
              <w:t xml:space="preserve">$185.00/hr</w:t>
            </w:r>
          </w:p>
        </w:tc>
        <w:tc>
          <w:tcPr/>
          <w:p>
            <w:pPr>
              <w:pStyle w:val="Compact"/>
              <w:jc w:val="left"/>
            </w:pPr>
            <w:r>
              <w:t xml:space="preserve">32</w:t>
            </w:r>
          </w:p>
        </w:tc>
        <w:tc>
          <w:tcPr/>
          <w:p>
            <w:pPr>
              <w:pStyle w:val="Compact"/>
              <w:jc w:val="left"/>
            </w:pPr>
            <w:r>
              <w:t xml:space="preserve">$5,920.00</w:t>
            </w:r>
          </w:p>
        </w:tc>
        <w:tc>
          <w:tcPr/>
          <w:p>
            <w:pPr>
              <w:pStyle w:val="Compact"/>
              <w:jc w:val="left"/>
            </w:pPr>
            <w:r>
              <w:t xml:space="preserve">Consulting</w:t>
            </w:r>
          </w:p>
        </w:tc>
      </w:tr>
      <w:tr>
        <w:tc>
          <w:tcPr/>
          <w:p>
            <w:pPr>
              <w:pStyle w:val="Compact"/>
              <w:jc w:val="left"/>
            </w:pPr>
            <w:r>
              <w:t xml:space="preserve">2</w:t>
            </w:r>
          </w:p>
        </w:tc>
        <w:tc>
          <w:tcPr/>
          <w:p>
            <w:pPr>
              <w:pStyle w:val="Compact"/>
              <w:jc w:val="left"/>
            </w:pPr>
            <w:r>
              <w:t xml:space="preserve">Sales Executive-led client presentations and proposal development for enterprise-level contracts. Preparation and delivery of fourteen (14) formal presentations to prospective corporate clients within the United States New York City business district.</w:t>
            </w:r>
          </w:p>
        </w:tc>
        <w:tc>
          <w:tcPr/>
          <w:p>
            <w:pPr>
              <w:pStyle w:val="Compact"/>
              <w:jc w:val="left"/>
            </w:pPr>
            <w:r>
              <w:t xml:space="preserve">$210.00/hr</w:t>
            </w:r>
          </w:p>
        </w:tc>
        <w:tc>
          <w:tcPr/>
          <w:p>
            <w:pPr>
              <w:pStyle w:val="Compact"/>
              <w:jc w:val="left"/>
            </w:pPr>
            <w:r>
              <w:t xml:space="preserve">24</w:t>
            </w:r>
          </w:p>
        </w:tc>
        <w:tc>
          <w:tcPr/>
          <w:p>
            <w:pPr>
              <w:pStyle w:val="Compact"/>
              <w:jc w:val="left"/>
            </w:pPr>
            <w:r>
              <w:t xml:space="preserve">$5,040.00</w:t>
            </w:r>
          </w:p>
        </w:tc>
        <w:tc>
          <w:tcPr/>
          <w:p>
            <w:pPr>
              <w:pStyle w:val="Compact"/>
              <w:jc w:val="left"/>
            </w:pPr>
            <w:r>
              <w:t xml:space="preserve">Client Services</w:t>
            </w:r>
          </w:p>
        </w:tc>
      </w:tr>
      <w:tr>
        <w:tc>
          <w:tcPr/>
          <w:p>
            <w:pPr>
              <w:pStyle w:val="Compact"/>
              <w:jc w:val="left"/>
            </w:pPr>
            <w:r>
              <w:t xml:space="preserve">3</w:t>
            </w:r>
          </w:p>
        </w:tc>
        <w:tc>
          <w:tcPr/>
          <w:p>
            <w:pPr>
              <w:pStyle w:val="Compact"/>
              <w:jc w:val="left"/>
            </w:pPr>
            <w:r>
              <w:t xml:space="preserve">Sales Executive negotiation support and contract finalization for three (3) major corporate accounts. Includes legal coordination, terms review, and closing documentation in compliance with New York State commercial regulations.</w:t>
            </w:r>
          </w:p>
        </w:tc>
        <w:tc>
          <w:tcPr/>
          <w:p>
            <w:pPr>
              <w:pStyle w:val="Compact"/>
              <w:jc w:val="left"/>
            </w:pPr>
            <w:r>
              <w:t xml:space="preserve">$245.00/hr</w:t>
            </w:r>
          </w:p>
        </w:tc>
        <w:tc>
          <w:tcPr/>
          <w:p>
            <w:pPr>
              <w:pStyle w:val="Compact"/>
              <w:jc w:val="left"/>
            </w:pPr>
            <w:r>
              <w:t xml:space="preserve">18</w:t>
            </w:r>
          </w:p>
        </w:tc>
        <w:tc>
          <w:tcPr/>
          <w:p>
            <w:pPr>
              <w:pStyle w:val="Compact"/>
              <w:jc w:val="left"/>
            </w:pPr>
            <w:r>
              <w:t xml:space="preserve">$4,410.00</w:t>
            </w:r>
          </w:p>
        </w:tc>
        <w:tc>
          <w:tcPr/>
          <w:p>
            <w:pPr>
              <w:pStyle w:val="Compact"/>
              <w:jc w:val="left"/>
            </w:pPr>
            <w:r>
              <w:t xml:space="preserve">Negotiation</w:t>
            </w:r>
          </w:p>
        </w:tc>
      </w:tr>
      <w:tr>
        <w:tc>
          <w:tcPr/>
          <w:p>
            <w:pPr>
              <w:pStyle w:val="Compact"/>
              <w:jc w:val="left"/>
            </w:pPr>
            <w:r>
              <w:t xml:space="preserve">4</w:t>
            </w:r>
          </w:p>
        </w:tc>
        <w:tc>
          <w:tcPr/>
          <w:p>
            <w:pPr>
              <w:pStyle w:val="Compact"/>
              <w:jc w:val="left"/>
            </w:pPr>
            <w:r>
              <w:t xml:space="preserve">Monthly Sales Executive performance reporting and analytics. Compilation of revenue metrics, conversion rates, and forecast projections for the United States New York City regional sales division.</w:t>
            </w:r>
          </w:p>
        </w:tc>
        <w:tc>
          <w:tcPr/>
          <w:p>
            <w:pPr>
              <w:pStyle w:val="Compact"/>
              <w:jc w:val="left"/>
            </w:pPr>
            <w:r>
              <w:t xml:space="preserve">$165.00/hr</w:t>
            </w:r>
          </w:p>
        </w:tc>
        <w:tc>
          <w:tcPr/>
          <w:p>
            <w:pPr>
              <w:pStyle w:val="Compact"/>
              <w:jc w:val="left"/>
            </w:pPr>
            <w:r>
              <w:t xml:space="preserve">12</w:t>
            </w:r>
          </w:p>
        </w:tc>
        <w:tc>
          <w:tcPr/>
          <w:p>
            <w:pPr>
              <w:pStyle w:val="Compact"/>
              <w:jc w:val="left"/>
            </w:pPr>
            <w:r>
              <w:t xml:space="preserve">$1,980.00</w:t>
            </w:r>
          </w:p>
        </w:tc>
        <w:tc>
          <w:tcPr/>
          <w:p>
            <w:pPr>
              <w:pStyle w:val="Compact"/>
              <w:jc w:val="left"/>
            </w:pPr>
            <w:r>
              <w:t xml:space="preserve">Reporting</w:t>
            </w:r>
          </w:p>
        </w:tc>
      </w:tr>
      <w:tr>
        <w:tc>
          <w:tcPr/>
          <w:p>
            <w:pPr>
              <w:pStyle w:val="Compact"/>
              <w:jc w:val="left"/>
            </w:pPr>
            <w:r>
              <w:t xml:space="preserve">5</w:t>
            </w:r>
          </w:p>
        </w:tc>
        <w:tc>
          <w:tcPr/>
          <w:p>
            <w:pPr>
              <w:pStyle w:val="Compact"/>
              <w:jc w:val="left"/>
            </w:pPr>
            <w:r>
              <w:t xml:space="preserve">Team training and onboarding sessions for junior sales personnel. Sales Executive conducted four (4) half-day workshops on advanced selling techniques, CRM utilization, and United States New York City market dynamics.</w:t>
            </w:r>
          </w:p>
        </w:tc>
        <w:tc>
          <w:tcPr/>
          <w:p>
            <w:pPr>
              <w:pStyle w:val="Compact"/>
              <w:jc w:val="left"/>
            </w:pPr>
            <w:r>
              <w:t xml:space="preserve">$195.00/hr</w:t>
            </w:r>
          </w:p>
        </w:tc>
        <w:tc>
          <w:tcPr/>
          <w:p>
            <w:pPr>
              <w:pStyle w:val="Compact"/>
              <w:jc w:val="left"/>
            </w:pPr>
            <w:r>
              <w:t xml:space="preserve">16</w:t>
            </w:r>
          </w:p>
        </w:tc>
        <w:tc>
          <w:tcPr/>
          <w:p>
            <w:pPr>
              <w:pStyle w:val="Compact"/>
              <w:jc w:val="left"/>
            </w:pPr>
            <w:r>
              <w:t xml:space="preserve">$3,120.00</w:t>
            </w:r>
          </w:p>
        </w:tc>
        <w:tc>
          <w:tcPr/>
          <w:p>
            <w:pPr>
              <w:pStyle w:val="Compact"/>
              <w:jc w:val="left"/>
            </w:pPr>
            <w:r>
              <w:t xml:space="preserve">Training</w:t>
            </w:r>
          </w:p>
        </w:tc>
      </w:tr>
      <w:tr>
        <w:tc>
          <w:tcPr/>
          <w:p>
            <w:pPr>
              <w:pStyle w:val="Compact"/>
              <w:jc w:val="left"/>
            </w:pPr>
            <w:r>
              <w:t xml:space="preserve">6</w:t>
            </w:r>
          </w:p>
        </w:tc>
        <w:tc>
          <w:tcPr/>
          <w:p>
            <w:pPr>
              <w:pStyle w:val="Compact"/>
              <w:jc w:val="left"/>
            </w:pPr>
            <w:r>
              <w:t xml:space="preserve">Travel and client entertainment expenses incurred during the service period within the United States New York City area. Includes transportation to client offices, conference attendance, and business meals as documented in attached receipts.</w:t>
            </w:r>
          </w:p>
        </w:tc>
        <w:tc>
          <w:tcPr/>
          <w:p>
            <w:pPr>
              <w:pStyle w:val="Compact"/>
              <w:jc w:val="left"/>
            </w:pPr>
            <w:r>
              <w:t xml:space="preserve">Flat</w:t>
            </w:r>
          </w:p>
        </w:tc>
        <w:tc>
          <w:tcPr/>
          <w:p>
            <w:pPr>
              <w:pStyle w:val="Compact"/>
              <w:jc w:val="left"/>
            </w:pPr>
            <w:r>
              <w:t xml:space="preserve">—</w:t>
            </w:r>
          </w:p>
        </w:tc>
        <w:tc>
          <w:tcPr/>
          <w:p>
            <w:pPr>
              <w:pStyle w:val="Compact"/>
              <w:jc w:val="left"/>
            </w:pPr>
            <w:r>
              <w:t xml:space="preserve">$1,275.50</w:t>
            </w:r>
          </w:p>
        </w:tc>
        <w:tc>
          <w:tcPr/>
          <w:p>
            <w:pPr>
              <w:pStyle w:val="Compact"/>
              <w:jc w:val="left"/>
            </w:pPr>
            <w:r>
              <w:t xml:space="preserve">Expenses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$21,745.50</w:t>
            </w:r>
          </w:p>
        </w:tc>
      </w:tr>
      <w:tr>
        <w:tc>
          <w:tcPr/>
          <w:p>
            <w:pPr>
              <w:pStyle w:val="Compact"/>
              <w:jc w:val="left"/>
            </w:pPr>
            <w:r>
              <w:t xml:space="preserve">Discount (Early Payment – 2%)</w:t>
            </w:r>
          </w:p>
        </w:tc>
        <w:tc>
          <w:tcPr/>
          <w:p>
            <w:pPr>
              <w:pStyle w:val="Compact"/>
              <w:jc w:val="left"/>
            </w:pPr>
            <w:r>
              <w:t xml:space="preserve">-$434.91</w:t>
            </w:r>
          </w:p>
        </w:tc>
      </w:tr>
      <w:tr>
        <w:tc>
          <w:tcPr/>
          <w:p>
            <w:pPr>
              <w:pStyle w:val="Compact"/>
              <w:jc w:val="left"/>
            </w:pPr>
            <w:r>
              <w:t xml:space="preserve">NYC Sales Tax (8.875%)</w:t>
            </w:r>
          </w:p>
        </w:tc>
        <w:tc>
          <w:tcPr/>
          <w:p>
            <w:pPr>
              <w:pStyle w:val="Compact"/>
              <w:jc w:val="left"/>
            </w:pPr>
            <w:r>
              <w:t xml:space="preserve">$1,871.81</w:t>
            </w:r>
          </w:p>
        </w:tc>
      </w:tr>
      <w:tr>
        <w:tc>
          <w:tcPr/>
          <w:p>
            <w:pPr>
              <w:pStyle w:val="Compact"/>
              <w:jc w:val="left"/>
            </w:pPr>
            <w:r>
              <w:t xml:space="preserve">NY State Tax (4%)</w:t>
            </w:r>
          </w:p>
        </w:tc>
        <w:tc>
          <w:tcPr/>
          <w:p>
            <w:pPr>
              <w:pStyle w:val="Compact"/>
              <w:jc w:val="left"/>
            </w:pPr>
            <w:r>
              <w:t xml:space="preserve">$842.81</w:t>
            </w:r>
          </w:p>
        </w:tc>
      </w:tr>
      <w:tr>
        <w:tc>
          <w:tcPr/>
          <w:p>
            <w:pPr>
              <w:pStyle w:val="Compact"/>
              <w:jc w:val="left"/>
            </w:pPr>
            <w:r>
              <w:t xml:space="preserve">Grand Total Due</w:t>
            </w:r>
          </w:p>
        </w:tc>
        <w:tc>
          <w:tcPr/>
          <w:p>
            <w:pPr>
              <w:pStyle w:val="Compact"/>
              <w:jc w:val="left"/>
            </w:pPr>
            <w:r>
              <w:t xml:space="preserve">$24,025.21</w:t>
            </w:r>
          </w:p>
        </w:tc>
      </w:tr>
    </w:tbl>
    <w:bookmarkStart w:id="24" w:name="invoice-notes-and-terms"/>
    <w:p>
      <w:pPr>
        <w:pStyle w:val="Heading3"/>
      </w:pPr>
      <w:r>
        <w:t xml:space="preserve">Invoice Notes and Terms</w:t>
      </w:r>
    </w:p>
    <w:p>
      <w:pPr>
        <w:pStyle w:val="FirstParagraph"/>
      </w:pPr>
      <w:r>
        <w:t xml:space="preserve">This Invoice is issued by Meridian Sales Consulting Group for professional Sales Executive services rendered to Apex Corporate Solutions, Inc. during the month of May 2025. All services were performed by a licensed Sales Executive operating within the jurisdiction of United States New York City in full compliance with New York State Department of State regulations and applicable federal tax codes.</w:t>
      </w:r>
    </w:p>
    <w:p>
      <w:pPr>
        <w:pStyle w:val="BodyText"/>
      </w:pPr>
      <w:r>
        <w:t xml:space="preserve">The Sales Executive services described in this Invoice include but are not limited to strategic consulting, client acquisition, contract negotiation, performance analytics, and team development. All hours and expenses listed have been verified and approved by the Sales Executive's direct supervisor and the client's designated account contact.</w:t>
      </w:r>
    </w:p>
    <w:p>
      <w:pPr>
        <w:pStyle w:val="BodyText"/>
      </w:pPr>
      <w:r>
        <w:t xml:space="preserve">Payment is due within thirty (30) calendar days from the Invoice date. Late payments shall accrue interest at a rate of 1.5% per month or the maximum rate permitted under New York State law, whichever is less. Please reference Invoice Number MSC-2025-04872 on all correspondence and remittances.</w:t>
      </w:r>
    </w:p>
    <w:p>
      <w:pPr>
        <w:pStyle w:val="BodyText"/>
      </w:pPr>
      <w:r>
        <w:t xml:space="preserve">This Invoice is valid for payment processing within the United States New York City financial district and may be submitted through any standard accounts payable channel. Electronic payment is strongly encouraged to expedite processing.</w:t>
      </w:r>
    </w:p>
    <w:bookmarkEnd w:id="24"/>
    <w:bookmarkStart w:id="25" w:name="payment-instructions"/>
    <w:p>
      <w:pPr>
        <w:pStyle w:val="Heading3"/>
      </w:pPr>
      <w:r>
        <w:t xml:space="preserve">Payment Instructions</w:t>
      </w:r>
    </w:p>
    <w:p>
      <w:pPr>
        <w:pStyle w:val="FirstParagraph"/>
      </w:pPr>
      <w:r>
        <w:rPr>
          <w:bCs/>
          <w:b/>
        </w:rPr>
        <w:t xml:space="preserve">Bank Wire Transfer:</w:t>
      </w:r>
      <w:r>
        <w:t xml:space="preserve"> </w:t>
      </w:r>
      <w:r>
        <w:t xml:space="preserve">First National Bank of New York | Routing: 021000021 | Account: 4478-2916-003 | Reference: MSC-2025-04872</w:t>
      </w:r>
    </w:p>
    <w:p>
      <w:pPr>
        <w:pStyle w:val="BodyText"/>
      </w:pPr>
      <w:r>
        <w:rPr>
          <w:bCs/>
          <w:b/>
        </w:rPr>
        <w:t xml:space="preserve">ACH / Electronic Check:</w:t>
      </w:r>
      <w:r>
        <w:t xml:space="preserve"> </w:t>
      </w:r>
      <w:r>
        <w:t xml:space="preserve">Available upon request. Please contact billing@meridiansalesconsulting.com for ACH authorization forms.</w:t>
      </w:r>
    </w:p>
    <w:p>
      <w:pPr>
        <w:pStyle w:val="BodyText"/>
      </w:pPr>
      <w:r>
        <w:rPr>
          <w:bCs/>
          <w:b/>
        </w:rPr>
        <w:t xml:space="preserve">Check:</w:t>
      </w:r>
      <w:r>
        <w:t xml:space="preserve"> </w:t>
      </w:r>
      <w:r>
        <w:t xml:space="preserve">Make payable to "Meridian Sales Consulting Group" and mail to 1285 Avenue of the Americas, Suite 4200, United States New York City, NY 10020.</w:t>
      </w:r>
    </w:p>
    <w:p>
      <w:pPr>
        <w:pStyle w:val="BodyText"/>
      </w:pPr>
      <w:r>
        <w:rPr>
          <w:bCs/>
          <w:b/>
        </w:rPr>
        <w:t xml:space="preserve">Payment Confirmation:</w:t>
      </w:r>
      <w:r>
        <w:t xml:space="preserve"> </w:t>
      </w:r>
      <w:r>
        <w:t xml:space="preserve">Upon receipt of payment, a formal receipt will be issued within two (2) business days. This receipt will serve as the official acknowledgment of settlement for this Invoice.</w:t>
      </w:r>
    </w:p>
    <w:bookmarkEnd w:id="25"/>
    <w:p>
      <w:pPr>
        <w:pStyle w:val="BodyText"/>
      </w:pPr>
      <w:r>
        <w:rPr>
          <w:bCs/>
          <w:b/>
        </w:rPr>
        <w:t xml:space="preserve">Meridian Sales Consulting Group</w:t>
      </w:r>
      <w:r>
        <w:t xml:space="preserve"> </w:t>
      </w:r>
      <w:r>
        <w:t xml:space="preserve">| 1285 Avenue of the Americas, Suite 4200, United States New York City, NY 10020</w:t>
      </w:r>
    </w:p>
    <w:p>
      <w:pPr>
        <w:pStyle w:val="BodyText"/>
      </w:pPr>
      <w:r>
        <w:t xml:space="preserve">This Invoice was generated on June 15, 2025. For questions regarding this Invoice or the Sales Executive services rendered, please contact our billing department at (212) 555-0147 or billing@meridiansalesconsulting.com.</w:t>
      </w:r>
    </w:p>
    <w:p>
      <w:pPr>
        <w:pStyle w:val="BodyText"/>
      </w:pPr>
      <w:r>
        <w:t xml:space="preserve">Meridian Sales Consulting Group is a registered professional services firm operating in United States New York City. All Sales Executive personnel hold valid New York State professional licenses. This document is the property of Meridian Sales Consulting Group and is intended solely for the named recipient.</w:t>
      </w:r>
    </w:p>
    <w:p>
      <w:pPr>
        <w:pStyle w:val="BodyText"/>
      </w:pPr>
      <w:r>
        <w:t xml:space="preserve">© 2025 Meridian Sales Consulting Group. All rights reserved. Invoice MSC-2025-04872.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States New York City</dc:title>
  <dc:creator/>
  <dc:language>en</dc:language>
  <cp:keywords/>
  <dcterms:created xsi:type="dcterms:W3CDTF">2026-10-10T08:19:06Z</dcterms:created>
  <dcterms:modified xsi:type="dcterms:W3CDTF">2026-10-10T08:19:06Z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