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Tehran,</w:t>
      </w:r>
      <w:r>
        <w:t xml:space="preserve"> </w:t>
      </w:r>
      <w:r>
        <w:t xml:space="preserve">Iran</w:t>
      </w:r>
    </w:p>
    <w:p>
      <w:pPr>
        <w:pStyle w:val="FirstParagraph"/>
      </w:pPr>
      <w:r>
        <w:t xml:space="preserve">INVOICE</w:t>
      </w:r>
    </w:p>
    <w:p>
      <w:pPr>
        <w:pStyle w:val="BodyText"/>
      </w:pPr>
      <w:r>
        <w:t xml:space="preserve">Professional School Counselor Services</w:t>
      </w:r>
    </w:p>
    <w:p>
      <w:pPr>
        <w:pStyle w:val="BodyText"/>
      </w:pPr>
      <w:r>
        <w:t xml:space="preserve">Tehran, Iran</w:t>
      </w:r>
    </w:p>
    <w:bookmarkStart w:id="20" w:name="invoice-number-inv-th-2025-0472"/>
    <w:p>
      <w:pPr>
        <w:pStyle w:val="Heading3"/>
      </w:pPr>
      <w:r>
        <w:t xml:space="preserve">Invoice Number: INV-TH-2025-0472</w:t>
      </w:r>
    </w:p>
    <w:p>
      <w:pPr>
        <w:pStyle w:val="FirstParagraph"/>
      </w:pPr>
      <w:r>
        <w:t xml:space="preserve">Date Issued: June 15, 2025</w:t>
      </w:r>
    </w:p>
    <w:p>
      <w:pPr>
        <w:pStyle w:val="BodyText"/>
      </w:pPr>
      <w:r>
        <w:t xml:space="preserve">Due Date: July 15, 2025</w:t>
      </w:r>
    </w:p>
    <w:p>
      <w:pPr>
        <w:pStyle w:val="BodyText"/>
      </w:pPr>
      <w:r>
        <w:t xml:space="preserve">Payment Terms: Net 30 Days</w:t>
      </w:r>
    </w:p>
    <w:p>
      <w:pPr>
        <w:pStyle w:val="BodyText"/>
      </w:pPr>
      <w:r>
        <w:t xml:space="preserve">PENDING PAYMENT</w:t>
      </w:r>
    </w:p>
    <w:bookmarkEnd w:id="20"/>
    <w:bookmarkStart w:id="21" w:name="service-provider-school-counselor"/>
    <w:p>
      <w:pPr>
        <w:pStyle w:val="Heading4"/>
      </w:pPr>
      <w:r>
        <w:t xml:space="preserve">Service Provider (School Counselor)</w:t>
      </w:r>
    </w:p>
    <w:p>
      <w:pPr>
        <w:pStyle w:val="FirstParagraph"/>
      </w:pPr>
      <w:r>
        <w:rPr>
          <w:bCs/>
          <w:b/>
        </w:rPr>
        <w:t xml:space="preserve">Name:</w:t>
      </w:r>
      <w:r>
        <w:t xml:space="preserve"> </w:t>
      </w:r>
      <w:r>
        <w:t xml:space="preserve">Dr. Maryam Ahmadi</w:t>
      </w:r>
    </w:p>
    <w:p>
      <w:pPr>
        <w:pStyle w:val="BodyText"/>
      </w:pPr>
      <w:r>
        <w:rPr>
          <w:bCs/>
          <w:b/>
        </w:rPr>
        <w:t xml:space="preserve">Title:</w:t>
      </w:r>
      <w:r>
        <w:t xml:space="preserve"> </w:t>
      </w:r>
      <w:r>
        <w:t xml:space="preserve">Licensed School Counselor</w:t>
      </w:r>
    </w:p>
    <w:p>
      <w:pPr>
        <w:pStyle w:val="BodyText"/>
      </w:pPr>
      <w:r>
        <w:rPr>
          <w:bCs/>
          <w:b/>
        </w:rPr>
        <w:t xml:space="preserve">License No.:</w:t>
      </w:r>
      <w:r>
        <w:t xml:space="preserve"> </w:t>
      </w:r>
      <w:r>
        <w:t xml:space="preserve">IR-SC-2019-4482</w:t>
      </w:r>
    </w:p>
    <w:p>
      <w:pPr>
        <w:pStyle w:val="BodyText"/>
      </w:pPr>
      <w:r>
        <w:rPr>
          <w:bCs/>
          <w:b/>
        </w:rPr>
        <w:t xml:space="preserve">Address:</w:t>
      </w:r>
      <w:r>
        <w:t xml:space="preserve"> </w:t>
      </w:r>
      <w:r>
        <w:t xml:space="preserve">42, Valiasr Street, District 1,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m.ahmadi.counselor@tehran-edu.ir</w:t>
      </w:r>
    </w:p>
    <w:p>
      <w:pPr>
        <w:pStyle w:val="BodyText"/>
      </w:pPr>
      <w:r>
        <w:rPr>
          <w:bCs/>
          <w:b/>
        </w:rPr>
        <w:t xml:space="preserve">Tax ID (Shenase Melli):</w:t>
      </w:r>
      <w:r>
        <w:t xml:space="preserve"> </w:t>
      </w:r>
      <w:r>
        <w:t xml:space="preserve">0048291736</w:t>
      </w:r>
    </w:p>
    <w:bookmarkEnd w:id="21"/>
    <w:bookmarkStart w:id="22" w:name="client-school-institution"/>
    <w:p>
      <w:pPr>
        <w:pStyle w:val="Heading4"/>
      </w:pPr>
      <w:r>
        <w:t xml:space="preserve">Client (School / Institution)</w:t>
      </w:r>
    </w:p>
    <w:p>
      <w:pPr>
        <w:pStyle w:val="FirstParagraph"/>
      </w:pPr>
      <w:r>
        <w:rPr>
          <w:bCs/>
          <w:b/>
        </w:rPr>
        <w:t xml:space="preserve">Institution:</w:t>
      </w:r>
      <w:r>
        <w:t xml:space="preserve"> </w:t>
      </w:r>
      <w:r>
        <w:t xml:space="preserve">Tehran International Bilingual School</w:t>
      </w:r>
    </w:p>
    <w:p>
      <w:pPr>
        <w:pStyle w:val="BodyText"/>
      </w:pPr>
      <w:r>
        <w:rPr>
          <w:bCs/>
          <w:b/>
        </w:rPr>
        <w:t xml:space="preserve">Department:</w:t>
      </w:r>
      <w:r>
        <w:t xml:space="preserve"> </w:t>
      </w:r>
      <w:r>
        <w:t xml:space="preserve">Student Welfare &amp; Counseling Division</w:t>
      </w:r>
    </w:p>
    <w:p>
      <w:pPr>
        <w:pStyle w:val="BodyText"/>
      </w:pPr>
      <w:r>
        <w:rPr>
          <w:bCs/>
          <w:b/>
        </w:rPr>
        <w:t xml:space="preserve">Address:</w:t>
      </w:r>
      <w:r>
        <w:t xml:space="preserve"> </w:t>
      </w:r>
      <w:r>
        <w:t xml:space="preserve">18, Enghelab Avenue, District 22, Tehran, Iran</w:t>
      </w:r>
    </w:p>
    <w:p>
      <w:pPr>
        <w:pStyle w:val="BodyText"/>
      </w:pPr>
      <w:r>
        <w:rPr>
          <w:bCs/>
          <w:b/>
        </w:rPr>
        <w:t xml:space="preserve">Contact Person:</w:t>
      </w:r>
      <w:r>
        <w:t xml:space="preserve"> </w:t>
      </w:r>
      <w:r>
        <w:t xml:space="preserve">Mr. Reza Karimi, Principal</w:t>
      </w:r>
    </w:p>
    <w:p>
      <w:pPr>
        <w:pStyle w:val="BodyText"/>
      </w:pPr>
      <w:r>
        <w:rPr>
          <w:bCs/>
          <w:b/>
        </w:rPr>
        <w:t xml:space="preserve">Phone:</w:t>
      </w:r>
      <w:r>
        <w:t xml:space="preserve"> </w:t>
      </w:r>
      <w:r>
        <w:t xml:space="preserve">+98-21-2233-8899</w:t>
      </w:r>
    </w:p>
    <w:p>
      <w:pPr>
        <w:pStyle w:val="BodyText"/>
      </w:pPr>
      <w:r>
        <w:rPr>
          <w:bCs/>
          <w:b/>
        </w:rPr>
        <w:t xml:space="preserve">Email:</w:t>
      </w:r>
      <w:r>
        <w:t xml:space="preserve"> </w:t>
      </w:r>
      <w:r>
        <w:t xml:space="preserve">admin@tehranbilingual.ir</w:t>
      </w:r>
    </w:p>
    <w:p>
      <w:pPr>
        <w:pStyle w:val="BodyText"/>
      </w:pPr>
      <w:r>
        <w:rPr>
          <w:bCs/>
          <w:b/>
        </w:rPr>
        <w:t xml:space="preserve">Organization Code:</w:t>
      </w:r>
      <w:r>
        <w:t xml:space="preserve"> </w:t>
      </w:r>
      <w:r>
        <w:t xml:space="preserve">IR-ORG-77210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Duration</w:t>
            </w:r>
          </w:p>
        </w:tc>
        <w:tc>
          <w:tcPr/>
          <w:p>
            <w:pPr>
              <w:pStyle w:val="Compact"/>
              <w:jc w:val="left"/>
            </w:pPr>
            <w:r>
              <w:t xml:space="preserve">Rate (IRR)</w:t>
            </w:r>
          </w:p>
        </w:tc>
        <w:tc>
          <w:tcPr/>
          <w:p>
            <w:pPr>
              <w:pStyle w:val="Compact"/>
              <w:jc w:val="left"/>
            </w:pPr>
            <w:r>
              <w:t xml:space="preserve">Quantity</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Individual Student Counseling Sessions – Academic and Emotional Support for Grades 7–12 students at Tehran International Bilingual School</w:t>
            </w:r>
          </w:p>
        </w:tc>
        <w:tc>
          <w:tcPr/>
          <w:p>
            <w:pPr>
              <w:pStyle w:val="Compact"/>
              <w:jc w:val="left"/>
            </w:pPr>
            <w:r>
              <w:t xml:space="preserve">Jan – Jun 2025</w:t>
            </w:r>
          </w:p>
        </w:tc>
        <w:tc>
          <w:tcPr/>
          <w:p>
            <w:pPr>
              <w:pStyle w:val="Compact"/>
              <w:jc w:val="left"/>
            </w:pPr>
            <w:r>
              <w:t xml:space="preserve">850,000</w:t>
            </w:r>
          </w:p>
        </w:tc>
        <w:tc>
          <w:tcPr/>
          <w:p>
            <w:pPr>
              <w:pStyle w:val="Compact"/>
              <w:jc w:val="left"/>
            </w:pPr>
            <w:r>
              <w:t xml:space="preserve">120 sessions</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Group Counseling Workshops – Social Skills, Conflict Resolution, and Peer Mediation Programs conducted on-campus in Tehran</w:t>
            </w:r>
          </w:p>
        </w:tc>
        <w:tc>
          <w:tcPr/>
          <w:p>
            <w:pPr>
              <w:pStyle w:val="Compact"/>
              <w:jc w:val="left"/>
            </w:pPr>
            <w:r>
              <w:t xml:space="preserve">Jan – Jun 2025</w:t>
            </w:r>
          </w:p>
        </w:tc>
        <w:tc>
          <w:tcPr/>
          <w:p>
            <w:pPr>
              <w:pStyle w:val="Compact"/>
              <w:jc w:val="left"/>
            </w:pPr>
            <w:r>
              <w:t xml:space="preserve">2,400,000</w:t>
            </w:r>
          </w:p>
        </w:tc>
        <w:tc>
          <w:tcPr/>
          <w:p>
            <w:pPr>
              <w:pStyle w:val="Compact"/>
              <w:jc w:val="left"/>
            </w:pPr>
            <w:r>
              <w:t xml:space="preserve">24 workshops</w:t>
            </w:r>
          </w:p>
        </w:tc>
        <w:tc>
          <w:tcPr/>
          <w:p>
            <w:pPr>
              <w:pStyle w:val="Compact"/>
              <w:jc w:val="left"/>
            </w:pPr>
            <w:r>
              <w:t xml:space="preserve">57,600,000</w:t>
            </w:r>
          </w:p>
        </w:tc>
      </w:tr>
      <w:tr>
        <w:tc>
          <w:tcPr/>
          <w:p>
            <w:pPr>
              <w:pStyle w:val="Compact"/>
              <w:jc w:val="left"/>
            </w:pPr>
            <w:r>
              <w:t xml:space="preserve">3</w:t>
            </w:r>
          </w:p>
        </w:tc>
        <w:tc>
          <w:tcPr/>
          <w:p>
            <w:pPr>
              <w:pStyle w:val="Compact"/>
              <w:jc w:val="left"/>
            </w:pPr>
            <w:r>
              <w:t xml:space="preserve">Parent-Child Communication Seminars – Monthly sessions for parents of Tehran-based students to strengthen family-school partnerships</w:t>
            </w:r>
          </w:p>
        </w:tc>
        <w:tc>
          <w:tcPr/>
          <w:p>
            <w:pPr>
              <w:pStyle w:val="Compact"/>
              <w:jc w:val="left"/>
            </w:pPr>
            <w:r>
              <w:t xml:space="preserve">Feb – Jun 2025</w:t>
            </w:r>
          </w:p>
        </w:tc>
        <w:tc>
          <w:tcPr/>
          <w:p>
            <w:pPr>
              <w:pStyle w:val="Compact"/>
              <w:jc w:val="left"/>
            </w:pPr>
            <w:r>
              <w:t xml:space="preserve">3,200,000</w:t>
            </w:r>
          </w:p>
        </w:tc>
        <w:tc>
          <w:tcPr/>
          <w:p>
            <w:pPr>
              <w:pStyle w:val="Compact"/>
              <w:jc w:val="left"/>
            </w:pPr>
            <w:r>
              <w:t xml:space="preserve">5 seminars</w:t>
            </w:r>
          </w:p>
        </w:tc>
        <w:tc>
          <w:tcPr/>
          <w:p>
            <w:pPr>
              <w:pStyle w:val="Compact"/>
              <w:jc w:val="left"/>
            </w:pPr>
            <w:r>
              <w:t xml:space="preserve">16,000,000</w:t>
            </w:r>
          </w:p>
        </w:tc>
      </w:tr>
      <w:tr>
        <w:tc>
          <w:tcPr/>
          <w:p>
            <w:pPr>
              <w:pStyle w:val="Compact"/>
              <w:jc w:val="left"/>
            </w:pPr>
            <w:r>
              <w:t xml:space="preserve">4</w:t>
            </w:r>
          </w:p>
        </w:tc>
        <w:tc>
          <w:tcPr/>
          <w:p>
            <w:pPr>
              <w:pStyle w:val="Compact"/>
              <w:jc w:val="left"/>
            </w:pPr>
            <w:r>
              <w:t xml:space="preserve">Crisis Intervention and Emergency Response – On-call availability for behavioral incidents, bullying cases, and acute emotional distress at the Tehran campus</w:t>
            </w:r>
          </w:p>
        </w:tc>
        <w:tc>
          <w:tcPr/>
          <w:p>
            <w:pPr>
              <w:pStyle w:val="Compact"/>
              <w:jc w:val="left"/>
            </w:pPr>
            <w:r>
              <w:t xml:space="preserve">Jan – Jun 2025</w:t>
            </w:r>
          </w:p>
        </w:tc>
        <w:tc>
          <w:tcPr/>
          <w:p>
            <w:pPr>
              <w:pStyle w:val="Compact"/>
              <w:jc w:val="left"/>
            </w:pPr>
            <w:r>
              <w:t xml:space="preserve">1,500,000</w:t>
            </w:r>
          </w:p>
        </w:tc>
        <w:tc>
          <w:tcPr/>
          <w:p>
            <w:pPr>
              <w:pStyle w:val="Compact"/>
              <w:jc w:val="left"/>
            </w:pPr>
            <w:r>
              <w:t xml:space="preserve">6 months</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Annual Student Psychological Assessment and Progress Reporting – Comprehensive evaluation of 340 students with written reports delivered to the Tehran school administration</w:t>
            </w:r>
          </w:p>
        </w:tc>
        <w:tc>
          <w:tcPr/>
          <w:p>
            <w:pPr>
              <w:pStyle w:val="Compact"/>
              <w:jc w:val="left"/>
            </w:pPr>
            <w:r>
              <w:t xml:space="preserve">May – Jun 2025</w:t>
            </w:r>
          </w:p>
        </w:tc>
        <w:tc>
          <w:tcPr/>
          <w:p>
            <w:pPr>
              <w:pStyle w:val="Compact"/>
              <w:jc w:val="left"/>
            </w:pPr>
            <w:r>
              <w:t xml:space="preserve">45,000</w:t>
            </w:r>
          </w:p>
        </w:tc>
        <w:tc>
          <w:tcPr/>
          <w:p>
            <w:pPr>
              <w:pStyle w:val="Compact"/>
              <w:jc w:val="left"/>
            </w:pPr>
            <w:r>
              <w:t xml:space="preserve">340 students</w:t>
            </w:r>
          </w:p>
        </w:tc>
        <w:tc>
          <w:tcPr/>
          <w:p>
            <w:pPr>
              <w:pStyle w:val="Compact"/>
              <w:jc w:val="left"/>
            </w:pPr>
            <w:r>
              <w:t xml:space="preserve">15,300,000</w:t>
            </w:r>
          </w:p>
        </w:tc>
      </w:tr>
      <w:tr>
        <w:tc>
          <w:tcPr/>
          <w:p>
            <w:pPr>
              <w:pStyle w:val="Compact"/>
              <w:jc w:val="left"/>
            </w:pPr>
            <w:r>
              <w:t xml:space="preserve">6</w:t>
            </w:r>
          </w:p>
        </w:tc>
        <w:tc>
          <w:tcPr/>
          <w:p>
            <w:pPr>
              <w:pStyle w:val="Compact"/>
              <w:jc w:val="left"/>
            </w:pPr>
            <w:r>
              <w:t xml:space="preserve">Teacher Training and Consultation – Professional development sessions for 45 teaching staff on recognizing student distress and referral protocols</w:t>
            </w:r>
          </w:p>
        </w:tc>
        <w:tc>
          <w:tcPr/>
          <w:p>
            <w:pPr>
              <w:pStyle w:val="Compact"/>
              <w:jc w:val="left"/>
            </w:pPr>
            <w:r>
              <w:t xml:space="preserve">Mar – Apr 2025</w:t>
            </w:r>
          </w:p>
        </w:tc>
        <w:tc>
          <w:tcPr/>
          <w:p>
            <w:pPr>
              <w:pStyle w:val="Compact"/>
              <w:jc w:val="left"/>
            </w:pPr>
            <w:r>
              <w:t xml:space="preserve">1,800,000</w:t>
            </w:r>
          </w:p>
        </w:tc>
        <w:tc>
          <w:tcPr/>
          <w:p>
            <w:pPr>
              <w:pStyle w:val="Compact"/>
              <w:jc w:val="left"/>
            </w:pPr>
            <w:r>
              <w:t xml:space="preserve">4 sessions</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207,100,000 IRR</w:t>
            </w:r>
          </w:p>
        </w:tc>
      </w:tr>
      <w:tr>
        <w:tc>
          <w:tcPr/>
          <w:p>
            <w:pPr>
              <w:pStyle w:val="Compact"/>
              <w:jc w:val="left"/>
            </w:pPr>
            <w:r>
              <w:t xml:space="preserve">VAT (9% – Iran National Tax)</w:t>
            </w:r>
          </w:p>
        </w:tc>
        <w:tc>
          <w:tcPr/>
          <w:p>
            <w:pPr>
              <w:pStyle w:val="Compact"/>
              <w:jc w:val="right"/>
            </w:pPr>
            <w:r>
              <w:t xml:space="preserve">18,639,000 IRR</w:t>
            </w:r>
          </w:p>
        </w:tc>
      </w:tr>
      <w:tr>
        <w:tc>
          <w:tcPr/>
          <w:p>
            <w:pPr>
              <w:pStyle w:val="Compact"/>
              <w:jc w:val="left"/>
            </w:pPr>
            <w:r>
              <w:t xml:space="preserve">Discount (Early Contract Renewal)</w:t>
            </w:r>
          </w:p>
        </w:tc>
        <w:tc>
          <w:tcPr/>
          <w:p>
            <w:pPr>
              <w:pStyle w:val="Compact"/>
              <w:jc w:val="right"/>
            </w:pPr>
            <w:r>
              <w:t xml:space="preserve">-5,000,000 IRR</w:t>
            </w:r>
          </w:p>
        </w:tc>
      </w:tr>
      <w:tr>
        <w:tc>
          <w:tcPr/>
          <w:p>
            <w:pPr>
              <w:pStyle w:val="Compact"/>
              <w:jc w:val="left"/>
            </w:pPr>
            <w:r>
              <w:t xml:space="preserve">Grand Total Due</w:t>
            </w:r>
          </w:p>
        </w:tc>
        <w:tc>
          <w:tcPr/>
          <w:p>
            <w:pPr>
              <w:pStyle w:val="Compact"/>
              <w:jc w:val="right"/>
            </w:pPr>
            <w:r>
              <w:t xml:space="preserve">220,739,000 IRR</w:t>
            </w:r>
          </w:p>
        </w:tc>
      </w:tr>
    </w:tbl>
    <w:bookmarkStart w:id="23" w:name="invoice-notes-service-context"/>
    <w:p>
      <w:pPr>
        <w:pStyle w:val="Heading4"/>
      </w:pPr>
      <w:r>
        <w:t xml:space="preserve">Invoice Notes &amp; Service Context</w:t>
      </w:r>
    </w:p>
    <w:p>
      <w:pPr>
        <w:pStyle w:val="FirstParagraph"/>
      </w:pPr>
      <w:r>
        <w:t xml:space="preserve">This Invoice covers the full professional engagement of a licensed School Counselor operating within the educational framework of Tehran, Iran. All counseling services were delivered in accordance with the guidelines set forth by the Iranian Ministry of Education and the Tehran Provincial Department of Student Affairs.</w:t>
      </w:r>
    </w:p>
    <w:p>
      <w:pPr>
        <w:pStyle w:val="BodyText"/>
      </w:pPr>
      <w:r>
        <w:t xml:space="preserve">The School Counselor maintained strict confidentiality in compliance with Iranian data protection regulations and the ethical code of the Iranian Association of School Counselors. All student records and assessment reports generated during this billing period are stored securely at the Tehran campus and will be retained for a minimum of seven (7) years as required by local educational law.</w:t>
      </w:r>
    </w:p>
    <w:p>
      <w:pPr>
        <w:pStyle w:val="BodyText"/>
      </w:pPr>
      <w:r>
        <w:t xml:space="preserve">Payment for this Invoice shall be made via bank transfer to the account specified below. The School Counselor's services are billed in Iranian Rials (IRR) in accordance with the standard currency practices for educational service contracts in Tehran, Iran. International wire transfers are not accepted for this Invoice.</w:t>
      </w:r>
    </w:p>
    <w:bookmarkEnd w:id="23"/>
    <w:bookmarkStart w:id="24" w:name="terms-and-conditions"/>
    <w:p>
      <w:pPr>
        <w:pStyle w:val="Heading4"/>
      </w:pPr>
      <w:r>
        <w:t xml:space="preserve">Terms and Conditions</w:t>
      </w:r>
    </w:p>
    <w:p>
      <w:pPr>
        <w:pStyle w:val="FirstParagraph"/>
      </w:pPr>
      <w:r>
        <w:t xml:space="preserve">1. This Invoice is valid for payment within thirty (30) calendar days from the date of issue. Late payments shall incur a penalty of 2% per month as stipulated under Iranian commercial law.</w:t>
      </w:r>
    </w:p>
    <w:p>
      <w:pPr>
        <w:pStyle w:val="BodyText"/>
      </w:pPr>
      <w:r>
        <w:t xml:space="preserve">2. The School Counselor reserves the right to suspend services immediately upon non-payment beyond the due date. No counseling sessions, workshops, or assessments will be conducted until the outstanding balance on this Invoice is settled in full.</w:t>
      </w:r>
    </w:p>
    <w:p>
      <w:pPr>
        <w:pStyle w:val="BodyText"/>
      </w:pPr>
      <w:r>
        <w:t xml:space="preserve">3. All services described in this Invoice were performed at the Tehran International Bilingual School premises or at the School Counselor's registered office in District 1, Tehran, Iran. Travel expenses within Tehran city limits are included in the quoted rates.</w:t>
      </w:r>
    </w:p>
    <w:p>
      <w:pPr>
        <w:pStyle w:val="BodyText"/>
      </w:pPr>
      <w:r>
        <w:t xml:space="preserve">4. Disputes arising from this Invoice or the associated service agreement shall be resolved through the Tehran Provincial Educational Arbitration Board in accordance with the Civil Procedure Code of the Islamic Republic of Iran.</w:t>
      </w:r>
    </w:p>
    <w:p>
      <w:pPr>
        <w:pStyle w:val="BodyText"/>
      </w:pPr>
      <w:r>
        <w:t xml:space="preserve">5. This Invoice constitutes a legally binding financial document. A copy must be retained by both the School Counselor and the client institution for tax reporting purposes with the Iranian National Tax Administration (Sazman-e Omour-e Maliyati).</w:t>
      </w:r>
    </w:p>
    <w:bookmarkEnd w:id="24"/>
    <w:p>
      <w:pPr>
        <w:pStyle w:val="BodyText"/>
      </w:pPr>
      <w:r>
        <w:rPr>
          <w:bCs/>
          <w:b/>
        </w:rPr>
        <w:t xml:space="preserve">Dr. Maryam Ahmadi</w:t>
      </w:r>
      <w:r>
        <w:br/>
      </w:r>
      <w:r>
        <w:t xml:space="preserve">School Counselor – Service Provider</w:t>
      </w:r>
      <w:r>
        <w:br/>
      </w:r>
      <w:r>
        <w:t xml:space="preserve">Date: _______________</w:t>
      </w:r>
    </w:p>
    <w:p>
      <w:pPr>
        <w:pStyle w:val="BodyText"/>
      </w:pPr>
      <w:r>
        <w:rPr>
          <w:bCs/>
          <w:b/>
        </w:rPr>
        <w:t xml:space="preserve">Mr. Reza Karimi</w:t>
      </w:r>
      <w:r>
        <w:br/>
      </w:r>
      <w:r>
        <w:t xml:space="preserve">Principal – Tehran International Bilingual School</w:t>
      </w:r>
      <w:r>
        <w:br/>
      </w:r>
      <w:r>
        <w:t xml:space="preserve">Date: _______________</w:t>
      </w:r>
    </w:p>
    <w:p>
      <w:pPr>
        <w:pStyle w:val="BodyText"/>
      </w:pPr>
      <w:r>
        <w:rPr>
          <w:bCs/>
          <w:b/>
        </w:rPr>
        <w:t xml:space="preserve">Payment Details:</w:t>
      </w:r>
      <w:r>
        <w:t xml:space="preserve"> </w:t>
      </w:r>
      <w:r>
        <w:t xml:space="preserve">Bank Melli Iran | Account Name: Maryam Ahmadi | IBAN: IR60 MELL 0000 0048 2917 3600 | Branch: Valiasr, Tehran</w:t>
      </w:r>
    </w:p>
    <w:p>
      <w:pPr>
        <w:pStyle w:val="BodyText"/>
      </w:pPr>
      <w:r>
        <w:t xml:space="preserve">This Invoice was generated electronically and is valid without a physical stamp. For verification, contact the School Counselor's office at +98-21-8876-5432 or m.ahmadi.counselor@tehran-edu.ir.</w:t>
      </w:r>
    </w:p>
    <w:p>
      <w:pPr>
        <w:pStyle w:val="BodyText"/>
      </w:pPr>
      <w:r>
        <w:t xml:space="preserve">© 2025 Dr. Maryam Ahmadi – School Counselor, Tehran, Iran. All rights reserved. Invoice INV-TH-2025-0472.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Tehran, Iran</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