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invoice"/>
    <w:p>
      <w:pPr>
        <w:pStyle w:val="Heading1"/>
      </w:pPr>
      <w:r>
        <w:t xml:space="preserve">INVOICE</w:t>
      </w:r>
    </w:p>
    <w:p>
      <w:pPr>
        <w:pStyle w:val="FirstParagraph"/>
      </w:pPr>
      <w:r>
        <w:t xml:space="preserve">Professional Social Worker Services — Malaysia Kuala Lumpur</w:t>
      </w:r>
    </w:p>
    <w:bookmarkEnd w:id="20"/>
    <w:bookmarkStart w:id="21" w:name="social-worker-provider"/>
    <w:p>
      <w:pPr>
        <w:pStyle w:val="Heading3"/>
      </w:pPr>
      <w:r>
        <w:t xml:space="preserve">Social Worker Provider</w:t>
      </w:r>
    </w:p>
    <w:p>
      <w:pPr>
        <w:pStyle w:val="FirstParagraph"/>
      </w:pPr>
      <w:r>
        <w:rPr>
          <w:bCs/>
          <w:b/>
        </w:rPr>
        <w:t xml:space="preserve">Aisyah binti Rahman, MSW</w:t>
      </w:r>
    </w:p>
    <w:p>
      <w:pPr>
        <w:pStyle w:val="BodyText"/>
      </w:pPr>
      <w:r>
        <w:t xml:space="preserve">Registered Social Worker — BEM (Board of Social Workers Malaysia)</w:t>
      </w:r>
    </w:p>
    <w:p>
      <w:pPr>
        <w:pStyle w:val="BodyText"/>
      </w:pPr>
      <w:r>
        <w:t xml:space="preserve">License No: BEM/2024/KL/08472</w:t>
      </w:r>
    </w:p>
    <w:p>
      <w:pPr>
        <w:pStyle w:val="BodyText"/>
      </w:pPr>
      <w:r>
        <w:t xml:space="preserve">12, Jalan Ampang, Level 5, Suite 502</w:t>
      </w:r>
    </w:p>
    <w:p>
      <w:pPr>
        <w:pStyle w:val="BodyText"/>
      </w:pPr>
      <w:r>
        <w:t xml:space="preserve">50450 Kuala Lumpur, Malaysia</w:t>
      </w:r>
    </w:p>
    <w:p>
      <w:pPr>
        <w:pStyle w:val="BodyText"/>
      </w:pPr>
      <w:r>
        <w:t xml:space="preserve">Tel: +60 3-2145 6789</w:t>
      </w:r>
    </w:p>
    <w:p>
      <w:pPr>
        <w:pStyle w:val="BodyText"/>
      </w:pPr>
      <w:r>
        <w:t xml:space="preserve">Email: aisyah.r@kl-socialwork.my</w:t>
      </w:r>
    </w:p>
    <w:p>
      <w:pPr>
        <w:pStyle w:val="BodyText"/>
      </w:pPr>
      <w:r>
        <w:t xml:space="preserve">MyTax ID: C123456789</w:t>
      </w:r>
    </w:p>
    <w:bookmarkEnd w:id="21"/>
    <w:p>
      <w:pPr>
        <w:pStyle w:val="BodyText"/>
      </w:pPr>
      <w:r>
        <w:t xml:space="preserve">Invoice Number</w:t>
      </w:r>
    </w:p>
    <w:p>
      <w:pPr>
        <w:pStyle w:val="BodyText"/>
      </w:pPr>
      <w:r>
        <w:t xml:space="preserve">INV-KL-2025-00347</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Currency</w:t>
      </w:r>
    </w:p>
    <w:p>
      <w:pPr>
        <w:pStyle w:val="BodyText"/>
      </w:pPr>
      <w:r>
        <w:t xml:space="preserve">MYR (RM)</w:t>
      </w:r>
    </w:p>
    <w:p>
      <w:pPr>
        <w:pStyle w:val="BodyText"/>
      </w:pPr>
      <w:r>
        <w:t xml:space="preserve">Status</w:t>
      </w:r>
    </w:p>
    <w:p>
      <w:pPr>
        <w:pStyle w:val="BodyText"/>
      </w:pPr>
      <w:r>
        <w:t xml:space="preserve">PENDING</w:t>
      </w:r>
    </w:p>
    <w:bookmarkStart w:id="22" w:name="billed-to-client-organisation"/>
    <w:p>
      <w:pPr>
        <w:pStyle w:val="Heading3"/>
      </w:pPr>
      <w:r>
        <w:t xml:space="preserve">Billed To (Client / Organisation)</w:t>
      </w:r>
    </w:p>
    <w:p>
      <w:pPr>
        <w:pStyle w:val="FirstParagraph"/>
      </w:pPr>
      <w:r>
        <w:rPr>
          <w:bCs/>
          <w:b/>
        </w:rPr>
        <w:t xml:space="preserve">Department of Social Welfare (Jabatan Kebajikan Masyarakat)</w:t>
      </w:r>
    </w:p>
    <w:p>
      <w:pPr>
        <w:pStyle w:val="BodyText"/>
      </w:pPr>
      <w:r>
        <w:t xml:space="preserve">Community Rehabilitation Division</w:t>
      </w:r>
    </w:p>
    <w:p>
      <w:pPr>
        <w:pStyle w:val="BodyText"/>
      </w:pPr>
      <w:r>
        <w:t xml:space="preserve">Aras 4, Blok C, Kompleks Jabatan Kebajikan Masyarakat</w:t>
      </w:r>
    </w:p>
    <w:p>
      <w:pPr>
        <w:pStyle w:val="BodyText"/>
      </w:pPr>
      <w:r>
        <w:t xml:space="preserve">No. 1, Jalan Duta, 50480 Kuala Lumpur, Malaysia</w:t>
      </w:r>
    </w:p>
    <w:p>
      <w:pPr>
        <w:pStyle w:val="BodyText"/>
      </w:pPr>
      <w:r>
        <w:t xml:space="preserve">Attn: Puan Nurul Huda binti Ismail, Division Manager</w:t>
      </w:r>
    </w:p>
    <w:p>
      <w:pPr>
        <w:pStyle w:val="BodyText"/>
      </w:pPr>
      <w:r>
        <w:t xml:space="preserve">Reference No: JKM/CRD/2025/11892</w:t>
      </w:r>
    </w:p>
    <w:bookmarkEnd w:id="22"/>
    <w:bookmarkStart w:id="25" w:name="X20172fab92699391c60577e08290cede9f9d54c"/>
    <w:p>
      <w:pPr>
        <w:pStyle w:val="Heading3"/>
      </w:pPr>
      <w:r>
        <w:t xml:space="preserve">Description of Social Worker Services Rendered in Malaysia Kuala Lumpur</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(RM/hr)</w:t>
            </w:r>
          </w:p>
        </w:tc>
        <w:tc>
          <w:tcPr/>
          <w:p>
            <w:pPr>
              <w:pStyle w:val="Compact"/>
              <w:jc w:val="left"/>
            </w:pPr>
            <w:r>
              <w:t xml:space="preserve">Amount (RM)</w:t>
            </w:r>
          </w:p>
        </w:tc>
      </w:tr>
      <w:tr>
        <w:tc>
          <w:tcPr/>
          <w:p>
            <w:pPr>
              <w:pStyle w:val="Compact"/>
              <w:jc w:val="left"/>
            </w:pPr>
            <w:r>
              <w:t xml:space="preserve">01</w:t>
            </w:r>
          </w:p>
        </w:tc>
        <w:tc>
          <w:tcPr/>
          <w:p>
            <w:pPr>
              <w:pStyle w:val="Compact"/>
              <w:jc w:val="left"/>
            </w:pPr>
            <w:r>
              <w:rPr>
                <w:bCs/>
                <w:b/>
              </w:rPr>
              <w:t xml:space="preserve">Family Assessment &amp; Case Management</w:t>
            </w:r>
          </w:p>
          <w:p>
            <w:pPr>
              <w:jc w:val="left"/>
            </w:pPr>
            <w:r>
              <w:t xml:space="preserve">Comprehensive home visit and psychosocial assessment for a vulnerable family unit in the Cheras district, Kuala Lumpur. Includes risk evaluation, resource mapping, and formulation of an individualised care plan in accordance with the Social Welfare Act 1966 (Act 259).</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02</w:t>
            </w:r>
          </w:p>
        </w:tc>
        <w:tc>
          <w:tcPr/>
          <w:p>
            <w:pPr>
              <w:pStyle w:val="Compact"/>
              <w:jc w:val="left"/>
            </w:pPr>
            <w:r>
              <w:rPr>
                <w:bCs/>
                <w:b/>
              </w:rPr>
              <w:t xml:space="preserve">Group Counselling &amp; Psychoeducation Workshop</w:t>
            </w:r>
          </w:p>
          <w:p>
            <w:pPr>
              <w:jc w:val="left"/>
            </w:pPr>
            <w:r>
              <w:t xml:space="preserve">Facilitation of a structured group therapy session for 12 adolescents at the Community Rehabilitation Centre, Jalan Duta, Kuala Lumpur. Topics covered: emotional regulation, conflict resolution, and reintegration strategies. Includes pre- and post-session documentation.</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03</w:t>
            </w:r>
          </w:p>
        </w:tc>
        <w:tc>
          <w:tcPr/>
          <w:p>
            <w:pPr>
              <w:pStyle w:val="Compact"/>
              <w:jc w:val="left"/>
            </w:pPr>
            <w:r>
              <w:rPr>
                <w:bCs/>
                <w:b/>
              </w:rPr>
              <w:t xml:space="preserve">Advocacy &amp; Inter-Agency Coordination</w:t>
            </w:r>
          </w:p>
          <w:p>
            <w:pPr>
              <w:jc w:val="left"/>
            </w:pPr>
            <w:r>
              <w:t xml:space="preserve">Representation and liaison on behalf of a client with the Kuala Lumpur City Hall (DBKL) housing department and the Malaysian Red Cross Society. Includes preparation of legal correspondence, attendance at a multi-agency case conference, and follow-up documentation filed with the Social Worker's case management system.</w:t>
            </w:r>
          </w:p>
        </w:tc>
        <w:tc>
          <w:tcPr/>
          <w:p>
            <w:pPr>
              <w:pStyle w:val="Compact"/>
              <w:jc w:val="left"/>
            </w:pPr>
            <w:r>
              <w:t xml:space="preserve">09 Jun 2025</w:t>
            </w:r>
          </w:p>
        </w:tc>
        <w:tc>
          <w:tcPr/>
          <w:p>
            <w:pPr>
              <w:pStyle w:val="Compact"/>
              <w:jc w:val="left"/>
            </w:pPr>
            <w:r>
              <w:t xml:space="preserve">5.0</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04</w:t>
            </w:r>
          </w:p>
        </w:tc>
        <w:tc>
          <w:tcPr/>
          <w:p>
            <w:pPr>
              <w:pStyle w:val="Compact"/>
              <w:jc w:val="left"/>
            </w:pPr>
            <w:r>
              <w:rPr>
                <w:bCs/>
                <w:b/>
              </w:rPr>
              <w:t xml:space="preserve">Crisis Intervention &amp; Emergency Response</w:t>
            </w:r>
          </w:p>
          <w:p>
            <w:pPr>
              <w:jc w:val="left"/>
            </w:pPr>
            <w:r>
              <w:t xml:space="preserve">Urgent on-site intervention at a domestic incident in the Petaling Jaya corridor, Greater Kuala Lumpur area. Provided immediate psychological first aid, safety planning, and coordinated transfer to a shelter facility. Includes 48-hour follow-up phone contact and written incident report submitted to the police and JKM.</w:t>
            </w:r>
          </w:p>
        </w:tc>
        <w:tc>
          <w:tcPr/>
          <w:p>
            <w:pPr>
              <w:pStyle w:val="Compact"/>
              <w:jc w:val="left"/>
            </w:pPr>
            <w:r>
              <w:t xml:space="preserve">11 Jun 2025</w:t>
            </w:r>
          </w:p>
        </w:tc>
        <w:tc>
          <w:tcPr/>
          <w:p>
            <w:pPr>
              <w:pStyle w:val="Compact"/>
              <w:jc w:val="left"/>
            </w:pPr>
            <w:r>
              <w:t xml:space="preserve">3.5</w:t>
            </w:r>
          </w:p>
        </w:tc>
        <w:tc>
          <w:tcPr/>
          <w:p>
            <w:pPr>
              <w:pStyle w:val="Compact"/>
              <w:jc w:val="left"/>
            </w:pPr>
            <w:r>
              <w:t xml:space="preserve">220.00</w:t>
            </w:r>
          </w:p>
        </w:tc>
        <w:tc>
          <w:tcPr/>
          <w:p>
            <w:pPr>
              <w:pStyle w:val="Compact"/>
              <w:jc w:val="left"/>
            </w:pPr>
            <w:r>
              <w:t xml:space="preserve">770.00</w:t>
            </w:r>
          </w:p>
        </w:tc>
      </w:tr>
      <w:tr>
        <w:tc>
          <w:tcPr/>
          <w:p>
            <w:pPr>
              <w:pStyle w:val="Compact"/>
              <w:jc w:val="left"/>
            </w:pPr>
            <w:r>
              <w:t xml:space="preserve">05</w:t>
            </w:r>
          </w:p>
        </w:tc>
        <w:tc>
          <w:tcPr/>
          <w:p>
            <w:pPr>
              <w:pStyle w:val="Compact"/>
              <w:jc w:val="left"/>
            </w:pPr>
            <w:r>
              <w:rPr>
                <w:bCs/>
                <w:b/>
              </w:rPr>
              <w:t xml:space="preserve">Monthly Case Review &amp; Progress Reporting</w:t>
            </w:r>
          </w:p>
          <w:p>
            <w:pPr>
              <w:jc w:val="left"/>
            </w:pPr>
            <w:r>
              <w:t xml:space="preserve">Preparation and submission of a detailed monthly progress report covering all active caseloads (23 clients) under the Community Rehabilitation Programme. Includes statistical analysis, outcome indicators, and recommendations for the next service cycle. Delivered in both Bahasa Malaysia and English as required by the Malaysia Kuala Lumpur regional office.</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06</w:t>
            </w:r>
          </w:p>
        </w:tc>
        <w:tc>
          <w:tcPr/>
          <w:p>
            <w:pPr>
              <w:pStyle w:val="Compact"/>
              <w:jc w:val="left"/>
            </w:pPr>
            <w:r>
              <w:rPr>
                <w:bCs/>
                <w:b/>
              </w:rPr>
              <w:t xml:space="preserve">Supervision &amp; Capacity Building for Junior Social Workers</w:t>
            </w:r>
          </w:p>
          <w:p>
            <w:pPr>
              <w:jc w:val="left"/>
            </w:pPr>
            <w:r>
              <w:t xml:space="preserve">Half-day clinical supervision session for four (4) junior Social Workers at the Kuala Lumpur field office. Covered ethical practice under the BEM Code of Ethics, documentation standards, and trauma-informed care approaches. Includes provision of printed reference materials and a post-session competency checklist.</w:t>
            </w:r>
          </w:p>
        </w:tc>
        <w:tc>
          <w:tcPr/>
          <w:p>
            <w:pPr>
              <w:pStyle w:val="Compact"/>
              <w:jc w:val="left"/>
            </w:pPr>
            <w:r>
              <w:t xml:space="preserve">14 Jun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5,090.00</w:t>
            </w:r>
          </w:p>
        </w:tc>
      </w:tr>
      <w:tr>
        <w:tc>
          <w:tcPr/>
          <w:p>
            <w:pPr>
              <w:pStyle w:val="Compact"/>
              <w:jc w:val="left"/>
            </w:pPr>
            <w:r>
              <w:t xml:space="preserve">Service Tax (SST) @ 6%</w:t>
            </w:r>
          </w:p>
        </w:tc>
        <w:tc>
          <w:tcPr/>
          <w:p>
            <w:pPr>
              <w:pStyle w:val="Compact"/>
              <w:jc w:val="left"/>
            </w:pPr>
            <w:r>
              <w:t xml:space="preserve">RM 305.40</w:t>
            </w:r>
          </w:p>
        </w:tc>
      </w:tr>
      <w:tr>
        <w:tc>
          <w:tcPr/>
          <w:p>
            <w:pPr>
              <w:pStyle w:val="Compact"/>
              <w:jc w:val="left"/>
            </w:pPr>
            <w:r>
              <w:t xml:space="preserve">Travel &amp; Local Transport Allowance (Kuala Lumpur)</w:t>
            </w:r>
          </w:p>
        </w:tc>
        <w:tc>
          <w:tcPr/>
          <w:p>
            <w:pPr>
              <w:pStyle w:val="Compact"/>
              <w:jc w:val="left"/>
            </w:pPr>
            <w:r>
              <w:t xml:space="preserve">RM 120.00</w:t>
            </w:r>
          </w:p>
        </w:tc>
      </w:tr>
      <w:tr>
        <w:tc>
          <w:tcPr/>
          <w:p>
            <w:pPr>
              <w:pStyle w:val="Compact"/>
              <w:jc w:val="left"/>
            </w:pPr>
            <w:r>
              <w:t xml:space="preserve">Discount (Government Contract Rate)</w:t>
            </w:r>
          </w:p>
        </w:tc>
        <w:tc>
          <w:tcPr/>
          <w:p>
            <w:pPr>
              <w:pStyle w:val="Compact"/>
              <w:jc w:val="left"/>
            </w:pPr>
            <w:r>
              <w:t xml:space="preserve">- RM 150.00</w:t>
            </w:r>
          </w:p>
        </w:tc>
      </w:tr>
      <w:tr>
        <w:tc>
          <w:tcPr/>
          <w:p>
            <w:pPr>
              <w:pStyle w:val="Compact"/>
              <w:jc w:val="left"/>
            </w:pPr>
            <w:r>
              <w:t xml:space="preserve">TOTAL AMOUNT DUE</w:t>
            </w:r>
          </w:p>
        </w:tc>
        <w:tc>
          <w:tcPr/>
          <w:p>
            <w:pPr>
              <w:pStyle w:val="Compact"/>
              <w:jc w:val="left"/>
            </w:pPr>
            <w:r>
              <w:t xml:space="preserve">RM 5,365.40</w:t>
            </w:r>
          </w:p>
        </w:tc>
      </w:tr>
    </w:tbl>
    <w:bookmarkStart w:id="23" w:name="payment-terms-instructions"/>
    <w:p>
      <w:pPr>
        <w:pStyle w:val="Heading4"/>
      </w:pPr>
      <w:r>
        <w:t xml:space="preserve">Payment Terms &amp; Instructions</w:t>
      </w:r>
    </w:p>
    <w:p>
      <w:pPr>
        <w:numPr>
          <w:ilvl w:val="0"/>
          <w:numId w:val="1001"/>
        </w:numPr>
        <w:pStyle w:val="Compact"/>
      </w:pPr>
      <w:r>
        <w:t xml:space="preserve">This Invoice is payable within fourteen (14) calendar days from the date of issue, i.e., no later than</w:t>
      </w:r>
      <w:r>
        <w:t xml:space="preserve"> </w:t>
      </w:r>
      <w:r>
        <w:rPr>
          <w:bCs/>
          <w:b/>
        </w:rPr>
        <w:t xml:space="preserve">30 June 2025</w:t>
      </w:r>
      <w:r>
        <w:t xml:space="preserve">.</w:t>
      </w:r>
    </w:p>
    <w:p>
      <w:pPr>
        <w:numPr>
          <w:ilvl w:val="0"/>
          <w:numId w:val="1001"/>
        </w:numPr>
        <w:pStyle w:val="Compact"/>
      </w:pPr>
      <w:r>
        <w:t xml:space="preserve">Payment shall be made via bank transfer to the following account:</w:t>
      </w:r>
      <w:r>
        <w:t xml:space="preserve"> </w:t>
      </w:r>
      <w:r>
        <w:rPr>
          <w:bCs/>
          <w:b/>
        </w:rPr>
        <w:t xml:space="preserve">Maybank Berhad</w:t>
      </w:r>
      <w:r>
        <w:t xml:space="preserve">, Account Name: Aisyah binti Rahman, Account No: 5123-4567-8901, Branch: Jalan Ampang, Kuala Lumpur.</w:t>
      </w:r>
    </w:p>
    <w:p>
      <w:pPr>
        <w:numPr>
          <w:ilvl w:val="0"/>
          <w:numId w:val="1001"/>
        </w:numPr>
        <w:pStyle w:val="Compact"/>
      </w:pPr>
      <w:r>
        <w:t xml:space="preserve">Please quote the Invoice number</w:t>
      </w:r>
      <w:r>
        <w:t xml:space="preserve"> </w:t>
      </w:r>
      <w:r>
        <w:rPr>
          <w:bCs/>
          <w:b/>
        </w:rPr>
        <w:t xml:space="preserve">INV-KL-2025-00347</w:t>
      </w:r>
      <w:r>
        <w:t xml:space="preserve"> </w:t>
      </w:r>
      <w:r>
        <w:t xml:space="preserve">in the payment reference field.</w:t>
      </w:r>
    </w:p>
    <w:p>
      <w:pPr>
        <w:numPr>
          <w:ilvl w:val="0"/>
          <w:numId w:val="1001"/>
        </w:numPr>
        <w:pStyle w:val="Compact"/>
      </w:pPr>
      <w:r>
        <w:t xml:space="preserve">Late payments beyond the due date shall attract a penalty of 2% per month as stipulated under the Malaysia Kuala Lumpur government procurement guidelines.</w:t>
      </w:r>
    </w:p>
    <w:p>
      <w:pPr>
        <w:numPr>
          <w:ilvl w:val="0"/>
          <w:numId w:val="1001"/>
        </w:numPr>
        <w:pStyle w:val="Compact"/>
      </w:pPr>
      <w:r>
        <w:t xml:space="preserve">Cheques should be made payable to "Aisyah binti Rahman" and posted to the address stated in this Invoice.</w:t>
      </w:r>
    </w:p>
    <w:bookmarkEnd w:id="23"/>
    <w:bookmarkStart w:id="24" w:name="notes-additional-information"/>
    <w:p>
      <w:pPr>
        <w:pStyle w:val="Heading4"/>
      </w:pPr>
      <w:r>
        <w:t xml:space="preserve">Notes &amp; Additional Information</w:t>
      </w:r>
    </w:p>
    <w:p>
      <w:pPr>
        <w:pStyle w:val="FirstParagraph"/>
      </w:pPr>
      <w:r>
        <w:t xml:space="preserve">This Invoice has been prepared in accordance with the professional standards set by the Board of Social Workers Malaysia (BEM) and the financial reporting requirements of the client organisation. All Social Worker services described herein were delivered in compliance with the Social Welfare Act 1966 (Act 259), the Child Act 2001 (Act 614), and applicable data protection regulations under the Personal Data Protection Act 2010 (PDPA) of Malaysia. Client identities have been anonymised in this document to protect confidentiality. Should you require an itemised breakdown, supporting case notes (redacted), or a revised Invoice, please contact the undersigned Social Worker at the email or telephone number provided above. This document constitutes a valid tax invoice for the purposes of Malaysian Revenue Authority (LHDN) reporting.</w:t>
      </w:r>
    </w:p>
    <w:bookmarkEnd w:id="24"/>
    <w:p>
      <w:pPr>
        <w:pStyle w:val="BodyText"/>
      </w:pPr>
      <w:r>
        <w:rPr>
          <w:bCs/>
          <w:b/>
        </w:rPr>
        <w:t xml:space="preserve">Aisyah binti Rahman, MSW</w:t>
      </w:r>
      <w:r>
        <w:t xml:space="preserve"> </w:t>
      </w:r>
      <w:r>
        <w:t xml:space="preserve">— Registered Social Worker, Board of Social Workers Malaysia (BEM)</w:t>
      </w:r>
      <w:r>
        <w:br/>
      </w:r>
      <w:r>
        <w:t xml:space="preserve">12, Jalan Ampang, Level 5, Suite 502, 50450 Kuala Lumpur, Malaysia</w:t>
      </w:r>
      <w:r>
        <w:br/>
      </w:r>
      <w:r>
        <w:t xml:space="preserve">Tel: +60 3-2145 6789 | Email: aisyah.r@kl-socialwork.my | MyTax ID: C123456789</w:t>
      </w:r>
      <w:r>
        <w:br/>
      </w:r>
      <w:r>
        <w:br/>
      </w:r>
      <w:r>
        <w:t xml:space="preserve">This Invoice was generated electronically and is valid without a physical signature. For queries regarding this Invoice or the Social Worker services rendered, please reference Invoice No. INV-KL-2025-00347 in all correspondence.</w:t>
      </w:r>
      <w:r>
        <w:br/>
      </w:r>
      <w:r>
        <w:br/>
      </w:r>
      <w:r>
        <w:t xml:space="preserve">© 2025 Aisyah binti Rahman Social Work Practice, Kuala Lumpur, Malaysia.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Malaysia Kuala Lumpur</dc:title>
  <dc:creator/>
  <dc:language>en</dc:language>
  <cp:keywords/>
  <dcterms:created xsi:type="dcterms:W3CDTF">2026-10-10T07:34:53Z</dcterms:created>
  <dcterms:modified xsi:type="dcterms:W3CDTF">2026-10-10T07:34:53Z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