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Professional Social Worker Services</w:t>
      </w:r>
    </w:p>
    <w:p>
      <w:pPr>
        <w:pStyle w:val="BodyText"/>
      </w:pPr>
      <w:r>
        <w:t xml:space="preserve">PHILIPPINES MANILA</w:t>
      </w:r>
    </w:p>
    <w:bookmarkStart w:id="20" w:name="invoice-details"/>
    <w:p>
      <w:pPr>
        <w:pStyle w:val="Heading3"/>
      </w:pPr>
      <w:r>
        <w:t xml:space="preserve">Invoice Details</w:t>
      </w:r>
    </w:p>
    <w:p>
      <w:pPr>
        <w:pStyle w:val="FirstParagraph"/>
      </w:pPr>
      <w:r>
        <w:rPr>
          <w:bCs/>
          <w:b/>
        </w:rPr>
        <w:t xml:space="preserve">Invoice No.:</w:t>
      </w:r>
      <w:r>
        <w:t xml:space="preserve"> </w:t>
      </w:r>
      <w:r>
        <w:t xml:space="preserve">SW-MNL-2025-00472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bookmarkEnd w:id="20"/>
    <w:bookmarkStart w:id="21" w:name="from-service-provider"/>
    <w:p>
      <w:pPr>
        <w:pStyle w:val="Heading4"/>
      </w:pPr>
      <w:r>
        <w:t xml:space="preserve">From (Service Provider)</w:t>
      </w:r>
    </w:p>
    <w:p>
      <w:pPr>
        <w:pStyle w:val="FirstParagraph"/>
      </w:pPr>
      <w:r>
        <w:rPr>
          <w:bCs/>
          <w:b/>
        </w:rPr>
        <w:t xml:space="preserve">Manila Community Social Work Services, Inc.</w:t>
      </w:r>
    </w:p>
    <w:p>
      <w:pPr>
        <w:pStyle w:val="BodyText"/>
      </w:pPr>
      <w:r>
        <w:t xml:space="preserve">128 Ayala Avenue, Makati City</w:t>
      </w:r>
    </w:p>
    <w:p>
      <w:pPr>
        <w:pStyle w:val="BodyText"/>
      </w:pPr>
      <w:r>
        <w:t xml:space="preserve">Philippines Manila, 1200</w:t>
      </w:r>
    </w:p>
    <w:p>
      <w:pPr>
        <w:pStyle w:val="BodyText"/>
      </w:pPr>
      <w:r>
        <w:t xml:space="preserve">Tel: +63 (2) 8887-4521</w:t>
      </w:r>
    </w:p>
    <w:p>
      <w:pPr>
        <w:pStyle w:val="BodyText"/>
      </w:pPr>
      <w:r>
        <w:t xml:space="preserve">Email: billing@mcswservices.ph</w:t>
      </w:r>
    </w:p>
    <w:p>
      <w:pPr>
        <w:pStyle w:val="BodyText"/>
      </w:pPr>
      <w:r>
        <w:t xml:space="preserve">TIN: 000-123-456-000</w:t>
      </w:r>
    </w:p>
    <w:p>
      <w:pPr>
        <w:pStyle w:val="BodyText"/>
      </w:pPr>
      <w:r>
        <w:t xml:space="preserve">DTI Reg. No.: 2019-04567890</w:t>
      </w:r>
    </w:p>
    <w:bookmarkEnd w:id="21"/>
    <w:bookmarkStart w:id="22" w:name="bill-to-client"/>
    <w:p>
      <w:pPr>
        <w:pStyle w:val="Heading4"/>
      </w:pPr>
      <w:r>
        <w:t xml:space="preserve">Bill To (Client)</w:t>
      </w:r>
    </w:p>
    <w:p>
      <w:pPr>
        <w:pStyle w:val="FirstParagraph"/>
      </w:pPr>
      <w:r>
        <w:rPr>
          <w:bCs/>
          <w:b/>
        </w:rPr>
        <w:t xml:space="preserve">Quezon City Municipal Social Welfare Office</w:t>
      </w:r>
    </w:p>
    <w:p>
      <w:pPr>
        <w:pStyle w:val="BodyText"/>
      </w:pPr>
      <w:r>
        <w:t xml:space="preserve">City Hall Complex, Quezon Avenue</w:t>
      </w:r>
    </w:p>
    <w:p>
      <w:pPr>
        <w:pStyle w:val="BodyText"/>
      </w:pPr>
      <w:r>
        <w:t xml:space="preserve">Philippines Manila Metro Area, 1100</w:t>
      </w:r>
    </w:p>
    <w:p>
      <w:pPr>
        <w:pStyle w:val="BodyText"/>
      </w:pPr>
      <w:r>
        <w:t xml:space="preserve">Attn: Dr. Maria Santos, Social Services Director</w:t>
      </w:r>
    </w:p>
    <w:p>
      <w:pPr>
        <w:pStyle w:val="BodyText"/>
      </w:pPr>
      <w:r>
        <w:t xml:space="preserve">Tel: +63 (2) 8912-3344</w:t>
      </w:r>
    </w:p>
    <w:p>
      <w:pPr>
        <w:pStyle w:val="BodyText"/>
      </w:pPr>
      <w:r>
        <w:t xml:space="preserve">Email: msantos@qcswd.gov.ph</w:t>
      </w:r>
    </w:p>
    <w:p>
      <w:pPr>
        <w:pStyle w:val="BodyText"/>
      </w:pPr>
      <w:r>
        <w:t xml:space="preserve">Account No.: QC-SWD-2025-0891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Licensed Social Worker – Family Intervention and Case Management for at-risk households in the Philippines Manila district. Includes home visits, assessment, and care plan development.</w:t>
            </w:r>
          </w:p>
        </w:tc>
        <w:tc>
          <w:tcPr/>
          <w:p>
            <w:pPr>
              <w:pStyle w:val="Compact"/>
              <w:jc w:val="left"/>
            </w:pPr>
            <w:r>
              <w:t xml:space="preserve">May 05 – May 30, 2025</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Social Worker Group Counseling Sessions – Conducted 12 group therapy sessions for youth at-risk of delinquency in the Philippines Manila community center. Facilitated by a registered Social Worker with 10+ years of experience.</w:t>
            </w:r>
          </w:p>
        </w:tc>
        <w:tc>
          <w:tcPr/>
          <w:p>
            <w:pPr>
              <w:pStyle w:val="Compact"/>
              <w:jc w:val="left"/>
            </w:pPr>
            <w:r>
              <w:t xml:space="preserve">May 10 – May 24, 2025</w:t>
            </w:r>
          </w:p>
        </w:tc>
        <w:tc>
          <w:tcPr/>
          <w:p>
            <w:pPr>
              <w:pStyle w:val="Compact"/>
              <w:jc w:val="left"/>
            </w:pPr>
            <w:r>
              <w:t xml:space="preserve">36</w:t>
            </w:r>
          </w:p>
        </w:tc>
        <w:tc>
          <w:tcPr/>
          <w:p>
            <w:pPr>
              <w:pStyle w:val="Compact"/>
              <w:jc w:val="left"/>
            </w:pPr>
            <w:r>
              <w:t xml:space="preserve">₱2,100.00</w:t>
            </w:r>
          </w:p>
        </w:tc>
        <w:tc>
          <w:tcPr/>
          <w:p>
            <w:pPr>
              <w:pStyle w:val="Compact"/>
              <w:jc w:val="left"/>
            </w:pPr>
            <w:r>
              <w:t xml:space="preserve">₱75,600.00</w:t>
            </w:r>
          </w:p>
        </w:tc>
      </w:tr>
      <w:tr>
        <w:tc>
          <w:tcPr/>
          <w:p>
            <w:pPr>
              <w:pStyle w:val="Compact"/>
              <w:jc w:val="left"/>
            </w:pPr>
            <w:r>
              <w:t xml:space="preserve">3</w:t>
            </w:r>
          </w:p>
        </w:tc>
        <w:tc>
          <w:tcPr/>
          <w:p>
            <w:pPr>
              <w:pStyle w:val="Compact"/>
              <w:jc w:val="left"/>
            </w:pPr>
            <w:r>
              <w:t xml:space="preserve">Social Worker Crisis Intervention – Emergency response and stabilization services for domestic violence cases in the Philippines Manila area. Includes 24/7 hotline support and immediate field deployment.</w:t>
            </w:r>
          </w:p>
        </w:tc>
        <w:tc>
          <w:tcPr/>
          <w:p>
            <w:pPr>
              <w:pStyle w:val="Compact"/>
              <w:jc w:val="left"/>
            </w:pPr>
            <w:r>
              <w:t xml:space="preserve">May 01 – May 31, 2025</w:t>
            </w:r>
          </w:p>
        </w:tc>
        <w:tc>
          <w:tcPr/>
          <w:p>
            <w:pPr>
              <w:pStyle w:val="Compact"/>
              <w:jc w:val="left"/>
            </w:pPr>
            <w:r>
              <w:t xml:space="preserve">24</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Social Worker Program Development – Design and implementation of a community-based rehabilitation program for substance abuse recovery in the Philippines Manila barangay. Includes curriculum development, staff training, and pilot evaluation.</w:t>
            </w:r>
          </w:p>
        </w:tc>
        <w:tc>
          <w:tcPr/>
          <w:p>
            <w:pPr>
              <w:pStyle w:val="Compact"/>
              <w:jc w:val="left"/>
            </w:pPr>
            <w:r>
              <w:t xml:space="preserve">May 15 – May 30, 2025</w:t>
            </w:r>
          </w:p>
        </w:tc>
        <w:tc>
          <w:tcPr/>
          <w:p>
            <w:pPr>
              <w:pStyle w:val="Compact"/>
              <w:jc w:val="left"/>
            </w:pPr>
            <w:r>
              <w:t xml:space="preserve">40</w:t>
            </w:r>
          </w:p>
        </w:tc>
        <w:tc>
          <w:tcPr/>
          <w:p>
            <w:pPr>
              <w:pStyle w:val="Compact"/>
              <w:jc w:val="left"/>
            </w:pPr>
            <w:r>
              <w:t xml:space="preserve">₱2,200.00</w:t>
            </w:r>
          </w:p>
        </w:tc>
        <w:tc>
          <w:tcPr/>
          <w:p>
            <w:pPr>
              <w:pStyle w:val="Compact"/>
              <w:jc w:val="left"/>
            </w:pPr>
            <w:r>
              <w:t xml:space="preserve">₱88,000.00</w:t>
            </w:r>
          </w:p>
        </w:tc>
      </w:tr>
      <w:tr>
        <w:tc>
          <w:tcPr/>
          <w:p>
            <w:pPr>
              <w:pStyle w:val="Compact"/>
              <w:jc w:val="left"/>
            </w:pPr>
            <w:r>
              <w:t xml:space="preserve">5</w:t>
            </w:r>
          </w:p>
        </w:tc>
        <w:tc>
          <w:tcPr/>
          <w:p>
            <w:pPr>
              <w:pStyle w:val="Compact"/>
              <w:jc w:val="left"/>
            </w:pPr>
            <w:r>
              <w:t xml:space="preserve">Social Worker Documentation and Reporting – Preparation of comprehensive case reports, progress assessments, and compliance documentation for the Philippines Manila Social Welfare and Development Office quarterly review.</w:t>
            </w:r>
          </w:p>
        </w:tc>
        <w:tc>
          <w:tcPr/>
          <w:p>
            <w:pPr>
              <w:pStyle w:val="Compact"/>
              <w:jc w:val="left"/>
            </w:pPr>
            <w:r>
              <w:t xml:space="preserve">June 01 – June 10, 2025</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Social Worker Community Outreach – Conducted 8 community awareness seminars on child protection, elder care, and mental health in various Philippines Manila barangay halls. Includes printed materials and participant certificates.</w:t>
            </w:r>
          </w:p>
        </w:tc>
        <w:tc>
          <w:tcPr/>
          <w:p>
            <w:pPr>
              <w:pStyle w:val="Compact"/>
              <w:jc w:val="left"/>
            </w:pPr>
            <w:r>
              <w:t xml:space="preserve">May 20 – June 05, 2025</w:t>
            </w:r>
          </w:p>
        </w:tc>
        <w:tc>
          <w:tcPr/>
          <w:p>
            <w:pPr>
              <w:pStyle w:val="Compact"/>
              <w:jc w:val="left"/>
            </w:pPr>
            <w:r>
              <w:t xml:space="preserve">32</w:t>
            </w:r>
          </w:p>
        </w:tc>
        <w:tc>
          <w:tcPr/>
          <w:p>
            <w:pPr>
              <w:pStyle w:val="Compact"/>
              <w:jc w:val="left"/>
            </w:pPr>
            <w:r>
              <w:t xml:space="preserve">₱1,750.00</w:t>
            </w:r>
          </w:p>
        </w:tc>
        <w:tc>
          <w:tcPr/>
          <w:p>
            <w:pPr>
              <w:pStyle w:val="Compact"/>
              <w:jc w:val="left"/>
            </w:pPr>
            <w:r>
              <w:t xml:space="preserve">₱56,000.00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₱392,400.00</w:t>
            </w:r>
          </w:p>
        </w:tc>
      </w:tr>
      <w:tr>
        <w:tc>
          <w:tcPr/>
          <w:p>
            <w:pPr>
              <w:pStyle w:val="Compact"/>
              <w:jc w:val="left"/>
            </w:pPr>
            <w:r>
              <w:t xml:space="preserve">VAT (12%)</w:t>
            </w:r>
          </w:p>
        </w:tc>
        <w:tc>
          <w:tcPr/>
          <w:p>
            <w:pPr>
              <w:pStyle w:val="Compact"/>
              <w:jc w:val="right"/>
            </w:pPr>
            <w:r>
              <w:t xml:space="preserve">₱47,088.00</w:t>
            </w:r>
          </w:p>
        </w:tc>
      </w:tr>
      <w:tr>
        <w:tc>
          <w:tcPr/>
          <w:p>
            <w:pPr>
              <w:pStyle w:val="Compact"/>
              <w:jc w:val="left"/>
            </w:pPr>
            <w:r>
              <w:t xml:space="preserve">Withholding Tax (10%)</w:t>
            </w:r>
          </w:p>
        </w:tc>
        <w:tc>
          <w:tcPr/>
          <w:p>
            <w:pPr>
              <w:pStyle w:val="Compact"/>
              <w:jc w:val="right"/>
            </w:pPr>
            <w:r>
              <w:t xml:space="preserve">(₱39,240.00)</w:t>
            </w:r>
          </w:p>
        </w:tc>
      </w:tr>
      <w:tr>
        <w:tc>
          <w:tcPr/>
          <w:p>
            <w:pPr>
              <w:pStyle w:val="Compact"/>
              <w:jc w:val="left"/>
            </w:pPr>
            <w:r>
              <w:t xml:space="preserve">NET AMOUNT DUE</w:t>
            </w:r>
          </w:p>
        </w:tc>
        <w:tc>
          <w:tcPr/>
          <w:p>
            <w:pPr>
              <w:pStyle w:val="Compact"/>
              <w:jc w:val="right"/>
            </w:pPr>
            <w:r>
              <w:t xml:space="preserve">₱400,248.00</w:t>
            </w:r>
          </w:p>
        </w:tc>
      </w:tr>
    </w:tbl>
    <w:bookmarkStart w:id="23" w:name="payment-information"/>
    <w:p>
      <w:pPr>
        <w:pStyle w:val="Heading4"/>
      </w:pPr>
      <w:r>
        <w:t xml:space="preserve">Payment Information</w:t>
      </w:r>
    </w:p>
    <w:p>
      <w:pPr>
        <w:pStyle w:val="FirstParagraph"/>
      </w:pPr>
      <w:r>
        <w:rPr>
          <w:bCs/>
          <w:b/>
        </w:rPr>
        <w:t xml:space="preserve">Bank:</w:t>
      </w:r>
      <w:r>
        <w:t xml:space="preserve"> </w:t>
      </w:r>
      <w:r>
        <w:t xml:space="preserve">BDO Unibank, Inc. – Philippines Manila Main Branch</w:t>
      </w:r>
    </w:p>
    <w:p>
      <w:pPr>
        <w:pStyle w:val="BodyText"/>
      </w:pPr>
      <w:r>
        <w:rPr>
          <w:bCs/>
          <w:b/>
        </w:rPr>
        <w:t xml:space="preserve">Account Name:</w:t>
      </w:r>
      <w:r>
        <w:t xml:space="preserve"> </w:t>
      </w:r>
      <w:r>
        <w:t xml:space="preserve">Manila Community Social Work Services, Inc.</w:t>
      </w:r>
    </w:p>
    <w:p>
      <w:pPr>
        <w:pStyle w:val="BodyText"/>
      </w:pPr>
      <w:r>
        <w:rPr>
          <w:bCs/>
          <w:b/>
        </w:rPr>
        <w:t xml:space="preserve">Account No.:</w:t>
      </w:r>
      <w:r>
        <w:t xml:space="preserve"> </w:t>
      </w:r>
      <w:r>
        <w:t xml:space="preserve">001234567890</w:t>
      </w:r>
    </w:p>
    <w:p>
      <w:pPr>
        <w:pStyle w:val="BodyText"/>
      </w:pPr>
      <w:r>
        <w:rPr>
          <w:bCs/>
          <w:b/>
        </w:rPr>
        <w:t xml:space="preserve">SWIFT Code:</w:t>
      </w:r>
      <w:r>
        <w:t xml:space="preserve"> </w:t>
      </w:r>
      <w:r>
        <w:t xml:space="preserve">BDOUPHMM</w:t>
      </w:r>
    </w:p>
    <w:p>
      <w:pPr>
        <w:pStyle w:val="BodyText"/>
      </w:pPr>
      <w:r>
        <w:rPr>
          <w:bCs/>
          <w:b/>
        </w:rPr>
        <w:t xml:space="preserve">Reference:</w:t>
      </w:r>
      <w:r>
        <w:t xml:space="preserve"> </w:t>
      </w:r>
      <w:r>
        <w:t xml:space="preserve">Please use Invoice No. SW-MNL-2025-00472 as your payment reference.</w:t>
      </w:r>
    </w:p>
    <w:p>
      <w:pPr>
        <w:pStyle w:val="BodyText"/>
      </w:pPr>
      <w:r>
        <w:rPr>
          <w:bCs/>
          <w:b/>
        </w:rPr>
        <w:t xml:space="preserve">Accepted Methods:</w:t>
      </w:r>
      <w:r>
        <w:t xml:space="preserve"> </w:t>
      </w:r>
      <w:r>
        <w:t xml:space="preserve">Bank Transfer, Check (payable to Manila Community Social Work Services, Inc.), or GCash Business</w:t>
      </w:r>
    </w:p>
    <w:bookmarkEnd w:id="23"/>
    <w:bookmarkStart w:id="24" w:name="important-notes-regarding-this-invoice"/>
    <w:p>
      <w:pPr>
        <w:pStyle w:val="Heading4"/>
      </w:pPr>
      <w:r>
        <w:t xml:space="preserve">Important Notes Regarding This Invoice</w:t>
      </w:r>
    </w:p>
    <w:p>
      <w:pPr>
        <w:pStyle w:val="FirstParagraph"/>
      </w:pPr>
      <w:r>
        <w:t xml:space="preserve">1. This Invoice covers all Social Worker professional services rendered between May 1, 2025 and June 10, 2025, within the Philippines Manila metropolitan area and its surrounding barangays.</w:t>
      </w:r>
    </w:p>
    <w:p>
      <w:pPr>
        <w:pStyle w:val="BodyText"/>
      </w:pPr>
      <w:r>
        <w:t xml:space="preserve">2. All Social Worker personnel assigned to this engagement are duly licensed by the Professional Regulation Commission (PRC) of the Philippines and hold valid Social Worker registration numbers.</w:t>
      </w:r>
    </w:p>
    <w:p>
      <w:pPr>
        <w:pStyle w:val="BodyText"/>
      </w:pPr>
      <w:r>
        <w:t xml:space="preserve">3. Payment is due within thirty (30) calendar days from the date of this Invoice. A late payment surcharge of 1.5% per month will be applied to any outstanding balance after the due date.</w:t>
      </w:r>
    </w:p>
    <w:p>
      <w:pPr>
        <w:pStyle w:val="BodyText"/>
      </w:pPr>
      <w:r>
        <w:t xml:space="preserve">4. This Invoice is subject to the terms and conditions outlined in Service Contract No. QC-SWD-2025-034, executed between the parties in the Philippines Manila jurisdiction.</w:t>
      </w:r>
    </w:p>
    <w:p>
      <w:pPr>
        <w:pStyle w:val="BodyText"/>
      </w:pPr>
      <w:r>
        <w:t xml:space="preserve">5. All Social Worker services were conducted in compliance with the Philippine Social Work Act (Republic Act No. 8511) and the Data Privacy Act of 2012 (Republic Act No. 10173). Client confidentiality is maintained in accordance with professional ethical standards.</w:t>
      </w:r>
    </w:p>
    <w:p>
      <w:pPr>
        <w:pStyle w:val="BodyText"/>
      </w:pPr>
      <w:r>
        <w:t xml:space="preserve">6. For questions or disputes regarding this Invoice, please contact our billing department within fifteen (15) business days. Kindly reference the Invoice number in all correspondence.</w:t>
      </w:r>
    </w:p>
    <w:p>
      <w:pPr>
        <w:pStyle w:val="BodyText"/>
      </w:pPr>
      <w:r>
        <w:t xml:space="preserve">7. This document serves as the official Invoice for tax and accounting purposes in the Philippines Manila region. A duplicate copy may be requested from the issuing office.</w:t>
      </w:r>
    </w:p>
    <w:bookmarkEnd w:id="24"/>
    <w:p>
      <w:pPr>
        <w:pStyle w:val="BodyText"/>
      </w:pPr>
      <w:r>
        <w:rPr>
          <w:bCs/>
          <w:b/>
        </w:rPr>
        <w:t xml:space="preserve">Manila Community Social Work Services, Inc.</w:t>
      </w:r>
      <w:r>
        <w:t xml:space="preserve"> </w:t>
      </w:r>
      <w:r>
        <w:t xml:space="preserve">| 128 Ayala Avenue, Makati City, Philippines Manila, 1200</w:t>
      </w:r>
    </w:p>
    <w:p>
      <w:pPr>
        <w:pStyle w:val="BodyText"/>
      </w:pPr>
      <w:r>
        <w:t xml:space="preserve">Registered with the Department of Trade and Industry, Republic of the Philippines | PRC-Registered Social Worker Firm</w:t>
      </w:r>
    </w:p>
    <w:p>
      <w:pPr>
        <w:pStyle w:val="BodyText"/>
      </w:pPr>
      <w:r>
        <w:t xml:space="preserve">Thank you for your business. We are committed to delivering exceptional Social Worker services to the Philippines Manila community.</w:t>
      </w:r>
    </w:p>
    <w:p>
      <w:pPr>
        <w:pStyle w:val="BodyText"/>
      </w:pPr>
      <w:r>
        <w:t xml:space="preserve">This Invoice was generated electronically and is valid without a physical signature. For verification, contact billing@mcswservices.ph or +63 (2) 8887-4521.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Philippines Manila</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