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apex-software-solutions"/>
    <w:p>
      <w:pPr>
        <w:pStyle w:val="Heading1"/>
      </w:pPr>
      <w:r>
        <w:t xml:space="preserve">Apex Software Solutions</w:t>
      </w:r>
    </w:p>
    <w:p>
      <w:pPr>
        <w:pStyle w:val="FirstParagraph"/>
      </w:pPr>
      <w:r>
        <w:t xml:space="preserve">1250 René-Lévesque Blvd West, Suite 400</w:t>
      </w:r>
    </w:p>
    <w:p>
      <w:pPr>
        <w:pStyle w:val="BodyText"/>
      </w:pPr>
      <w:r>
        <w:t xml:space="preserve">Montreal, Quebec, Canada H3B 4W8</w:t>
      </w:r>
    </w:p>
    <w:p>
      <w:pPr>
        <w:pStyle w:val="BodyText"/>
      </w:pPr>
      <w:r>
        <w:t xml:space="preserve">Phone: +1 (514) 555-0199</w:t>
      </w:r>
    </w:p>
    <w:p>
      <w:pPr>
        <w:pStyle w:val="BodyText"/>
      </w:pPr>
      <w:r>
        <w:t xml:space="preserve">Email: billing@apexsoftware.ca</w:t>
      </w:r>
    </w:p>
    <w:p>
      <w:pPr>
        <w:pStyle w:val="BodyText"/>
      </w:pPr>
      <w:r>
        <w:t xml:space="preserve">QST Number: 1234567890QST</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Innovatech Corp.</w:t>
      </w:r>
    </w:p>
    <w:p>
      <w:pPr>
        <w:pStyle w:val="BodyText"/>
      </w:pPr>
      <w:r>
        <w:t xml:space="preserve">Attn: Procurement Department</w:t>
      </w:r>
    </w:p>
    <w:p>
      <w:pPr>
        <w:pStyle w:val="BodyText"/>
      </w:pPr>
      <w:r>
        <w:t xml:space="preserve">1000 de la Gauchetière St W</w:t>
      </w:r>
    </w:p>
    <w:p>
      <w:pPr>
        <w:pStyle w:val="BodyText"/>
      </w:pPr>
      <w:r>
        <w:t xml:space="preserve">Montreal, Quebec, Canada H3B 4W5</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Enterprise Cloud Migration</w:t>
      </w:r>
    </w:p>
    <w:p>
      <w:pPr>
        <w:pStyle w:val="BodyText"/>
      </w:pPr>
      <w:r>
        <w:rPr>
          <w:bCs/>
          <w:b/>
        </w:rPr>
        <w:t xml:space="preserve">Contract ID:</w:t>
      </w:r>
      <w:r>
        <w:t xml:space="preserve"> </w:t>
      </w:r>
      <w:r>
        <w:t xml:space="preserve">MT-2023-DEV-09</w:t>
      </w:r>
    </w:p>
    <w:p>
      <w:pPr>
        <w:pStyle w:val="BodyText"/>
      </w:pPr>
      <w:r>
        <w:rPr>
          <w:bCs/>
          <w:b/>
        </w:rPr>
        <w:t xml:space="preserve">Service Period:</w:t>
      </w:r>
      <w:r>
        <w:t xml:space="preserve"> </w:t>
      </w:r>
      <w:r>
        <w:t xml:space="preserve">Oct 01, 2023 - Oct 31,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microservices architecture using Node.js and Docker. Optimization of database queries for PostgreSQL to improve latency by 40%. Code review and refactoring of legacy modules to ensure compatibility with the new cloud infrastructure.</w:t>
            </w:r>
          </w:p>
        </w:tc>
        <w:tc>
          <w:tcPr/>
          <w:p>
            <w:pPr>
              <w:pStyle w:val="Compact"/>
              <w:jc w:val="left"/>
            </w:pPr>
            <w:r>
              <w:t xml:space="preserve">40.0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Senior Software Engineer - Frontend Development</w:t>
            </w:r>
            <w:r>
              <w:br/>
            </w:r>
            <w:r>
              <w:t xml:space="preserve">Development of responsive React components for the client dashboard. Integration of RESTful APIs and implementation of state management using Redux. Ensuring cross-browser compatibility and adherence to WCAG accessibility standards within the Montreal office requirements.</w:t>
            </w:r>
          </w:p>
        </w:tc>
        <w:tc>
          <w:tcPr/>
          <w:p>
            <w:pPr>
              <w:pStyle w:val="Compact"/>
              <w:jc w:val="left"/>
            </w:pPr>
            <w:r>
              <w:t xml:space="preserve">35.0</w:t>
            </w:r>
          </w:p>
        </w:tc>
        <w:tc>
          <w:tcPr/>
          <w:p>
            <w:pPr>
              <w:pStyle w:val="Compact"/>
              <w:jc w:val="left"/>
            </w:pPr>
            <w:r>
              <w:t xml:space="preserve">115.00</w:t>
            </w:r>
          </w:p>
        </w:tc>
        <w:tc>
          <w:tcPr/>
          <w:p>
            <w:pPr>
              <w:pStyle w:val="Compact"/>
              <w:jc w:val="left"/>
            </w:pPr>
            <w:r>
              <w:t xml:space="preserve">4,025.00</w:t>
            </w:r>
          </w:p>
        </w:tc>
      </w:tr>
      <w:tr>
        <w:tc>
          <w:tcPr/>
          <w:p>
            <w:pPr>
              <w:pStyle w:val="Compact"/>
              <w:jc w:val="left"/>
            </w:pPr>
            <w:r>
              <w:t xml:space="preserve">3</w:t>
            </w:r>
          </w:p>
        </w:tc>
        <w:tc>
          <w:tcPr/>
          <w:p>
            <w:pPr>
              <w:pStyle w:val="Compact"/>
              <w:jc w:val="left"/>
            </w:pPr>
            <w:r>
              <w:rPr>
                <w:bCs/>
                <w:b/>
              </w:rPr>
              <w:t xml:space="preserve">DevOps &amp; CI/CD Pipeline Configuration</w:t>
            </w:r>
            <w:r>
              <w:br/>
            </w:r>
            <w:r>
              <w:t xml:space="preserve">Setup of Jenkins pipelines for automated testing and deployment. Configuration of AWS EC2 instances and S3 buckets. Implementation of security protocols and firewall rules to protect sensitive data in accordance with Canadian privacy laws.</w:t>
            </w:r>
          </w:p>
        </w:tc>
        <w:tc>
          <w:tcPr/>
          <w:p>
            <w:pPr>
              <w:pStyle w:val="Compact"/>
              <w:jc w:val="left"/>
            </w:pPr>
            <w:r>
              <w:t xml:space="preserve">20.0</w:t>
            </w:r>
          </w:p>
        </w:tc>
        <w:tc>
          <w:tcPr/>
          <w:p>
            <w:pPr>
              <w:pStyle w:val="Compact"/>
              <w:jc w:val="left"/>
            </w:pPr>
            <w:r>
              <w:t xml:space="preserve">130.00</w:t>
            </w:r>
          </w:p>
        </w:tc>
        <w:tc>
          <w:tcPr/>
          <w:p>
            <w:pPr>
              <w:pStyle w:val="Compact"/>
              <w:jc w:val="left"/>
            </w:pPr>
            <w:r>
              <w:t xml:space="preserve">2,600.00</w:t>
            </w:r>
          </w:p>
        </w:tc>
      </w:tr>
      <w:tr>
        <w:tc>
          <w:tcPr/>
          <w:p>
            <w:pPr>
              <w:pStyle w:val="Compact"/>
              <w:jc w:val="left"/>
            </w:pPr>
            <w:r>
              <w:t xml:space="preserve">4</w:t>
            </w:r>
          </w:p>
        </w:tc>
        <w:tc>
          <w:tcPr/>
          <w:p>
            <w:pPr>
              <w:pStyle w:val="Compact"/>
              <w:jc w:val="left"/>
            </w:pPr>
            <w:r>
              <w:rPr>
                <w:bCs/>
                <w:b/>
              </w:rPr>
              <w:t xml:space="preserve">Technical Consultation &amp; Documentation</w:t>
            </w:r>
            <w:r>
              <w:br/>
            </w:r>
            <w:r>
              <w:t xml:space="preserve">Weekly sprint planning meetings and technical documentation updates. Creation of API documentation using Swagger. Consultation on scalability strategies for future growth in the North American market.</w:t>
            </w:r>
          </w:p>
        </w:tc>
        <w:tc>
          <w:tcPr/>
          <w:p>
            <w:pPr>
              <w:pStyle w:val="Compact"/>
              <w:jc w:val="left"/>
            </w:pPr>
            <w:r>
              <w:t xml:space="preserve">15.0</w:t>
            </w:r>
          </w:p>
        </w:tc>
        <w:tc>
          <w:tcPr/>
          <w:p>
            <w:pPr>
              <w:pStyle w:val="Compact"/>
              <w:jc w:val="left"/>
            </w:pPr>
            <w:r>
              <w:t xml:space="preserve">110.00</w:t>
            </w:r>
          </w:p>
        </w:tc>
        <w:tc>
          <w:tcPr/>
          <w:p>
            <w:pPr>
              <w:pStyle w:val="Compact"/>
              <w:jc w:val="left"/>
            </w:pPr>
            <w:r>
              <w:t xml:space="preserve">1,650.00</w:t>
            </w:r>
          </w:p>
        </w:tc>
      </w:tr>
    </w:tbl>
    <w:p>
      <w:pPr>
        <w:pStyle w:val="BodyText"/>
      </w:pPr>
      <w:r>
        <w:t xml:space="preserve">Subtotal:</w:t>
      </w:r>
      <w:r>
        <w:t xml:space="preserve"> </w:t>
      </w:r>
      <w:r>
        <w:t xml:space="preserve">$13,275.00</w:t>
      </w:r>
    </w:p>
    <w:p>
      <w:pPr>
        <w:pStyle w:val="BodyText"/>
      </w:pPr>
      <w:r>
        <w:t xml:space="preserve">QST (9.975%):</w:t>
      </w:r>
      <w:r>
        <w:t xml:space="preserve"> </w:t>
      </w:r>
      <w:r>
        <w:t xml:space="preserve">$1,324.18</w:t>
      </w:r>
    </w:p>
    <w:p>
      <w:pPr>
        <w:pStyle w:val="BodyText"/>
      </w:pPr>
      <w:r>
        <w:t xml:space="preserve">GST (5.0%):</w:t>
      </w:r>
      <w:r>
        <w:t xml:space="preserve"> </w:t>
      </w:r>
      <w:r>
        <w:t xml:space="preserve">$663.75</w:t>
      </w:r>
    </w:p>
    <w:p>
      <w:pPr>
        <w:pStyle w:val="BodyText"/>
      </w:pPr>
      <w:r>
        <w:t xml:space="preserve">Total Due (CAD):</w:t>
      </w:r>
      <w:r>
        <w:t xml:space="preserve"> </w:t>
      </w:r>
      <w:r>
        <w:t xml:space="preserve">$15,262.93</w:t>
      </w:r>
    </w:p>
    <w:bookmarkStart w:id="24" w:name="payment-instructions-terms"/>
    <w:p>
      <w:pPr>
        <w:pStyle w:val="Heading4"/>
      </w:pPr>
      <w:r>
        <w:t xml:space="preserve">Payment Instructions &amp; Terms:</w:t>
      </w:r>
    </w:p>
    <w:p>
      <w:pPr>
        <w:pStyle w:val="FirstParagraph"/>
      </w:pPr>
      <w:r>
        <w:rPr>
          <w:bCs/>
          <w:b/>
        </w:rPr>
        <w:t xml:space="preserve">Bank Transfer (Wire):</w:t>
      </w:r>
      <w:r>
        <w:br/>
      </w:r>
      <w:r>
        <w:t xml:space="preserve">Bank Name: Royal Bank of Canada</w:t>
      </w:r>
      <w:r>
        <w:br/>
      </w:r>
      <w:r>
        <w:t xml:space="preserve">Branch: Montreal Downtown</w:t>
      </w:r>
      <w:r>
        <w:br/>
      </w:r>
      <w:r>
        <w:t xml:space="preserve">Account Name: Apex Software Solutions Inc.</w:t>
      </w:r>
      <w:r>
        <w:br/>
      </w:r>
      <w:r>
        <w:t xml:space="preserve">Transit: 00123</w:t>
      </w:r>
      <w:r>
        <w:br/>
      </w:r>
      <w:r>
        <w:t xml:space="preserve">Institution: 003</w:t>
      </w:r>
      <w:r>
        <w:br/>
      </w:r>
      <w:r>
        <w:t xml:space="preserve">Account: 987654321</w:t>
      </w:r>
      <w:r>
        <w:br/>
      </w:r>
      <w:r>
        <w:t xml:space="preserve">SWIFT: ROYCCAT2</w:t>
      </w:r>
    </w:p>
    <w:p>
      <w:pPr>
        <w:pStyle w:val="BodyText"/>
      </w:pPr>
      <w:r>
        <w:rPr>
          <w:bCs/>
          <w:b/>
        </w:rPr>
        <w:t xml:space="preserve">Terms:</w:t>
      </w:r>
      <w:r>
        <w:br/>
      </w:r>
      <w:r>
        <w:t xml:space="preserve">Payment is due within 30 days of the invoice date. Late payments may incur a penalty of 1.5% per month on the outstanding balance. All amounts are in Canadian Dollars (CAD). Please include the Invoice Number (INV-2023-10-042) as the reference when making payment.</w:t>
      </w:r>
    </w:p>
    <w:p>
      <w:pPr>
        <w:pStyle w:val="BodyText"/>
      </w:pPr>
      <w:r>
        <w:rPr>
          <w:bCs/>
          <w:b/>
        </w:rPr>
        <w:t xml:space="preserve">Service Guarantee:</w:t>
      </w:r>
      <w:r>
        <w:br/>
      </w:r>
      <w:r>
        <w:t xml:space="preserve">Apex Software Solutions guarantees the quality of work performed by our Software Engineers. Any bugs or defects identified within 14 days of delivery will be rectified at no additional cost, provided they are not caused by third-party integrations or changes made by the client.</w:t>
      </w:r>
    </w:p>
    <w:bookmarkEnd w:id="24"/>
    <w:p>
      <w:pPr>
        <w:pStyle w:val="BodyText"/>
      </w:pPr>
      <w:r>
        <w:rPr>
          <w:bCs/>
          <w:b/>
        </w:rPr>
        <w:t xml:space="preserve">Authorized Signature (Provider)</w:t>
      </w:r>
      <w:r>
        <w:br/>
      </w:r>
      <w:r>
        <w:rPr>
          <w:iCs/>
          <w:i/>
        </w:rPr>
        <w:t xml:space="preserve">Jean-Pierre Tremblay, Lead Engineer</w:t>
      </w:r>
    </w:p>
    <w:p>
      <w:pPr>
        <w:pStyle w:val="BodyText"/>
      </w:pPr>
      <w:r>
        <w:rPr>
          <w:bCs/>
          <w:b/>
        </w:rPr>
        <w:t xml:space="preserve">Authorized Signature (Client)</w:t>
      </w:r>
      <w:r>
        <w:br/>
      </w:r>
      <w:r>
        <w:rPr>
          <w:iCs/>
          <w:i/>
        </w:rPr>
        <w:t xml:space="preserve">Accepted by:</w:t>
      </w:r>
    </w:p>
    <w:p>
      <w:pPr>
        <w:pStyle w:val="BodyText"/>
      </w:pPr>
      <w:r>
        <w:t xml:space="preserve">Thank you for your business. We appreciate your trust in our technical expertise.</w:t>
      </w:r>
    </w:p>
    <w:p>
      <w:pPr>
        <w:pStyle w:val="BodyText"/>
      </w:pPr>
      <w:r>
        <w:t xml:space="preserve">Apex Software Solutions Inc. | 1250 René-Lévesque Blvd West, Montreal, QC, Canada H3B 4W8</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2026-10-10T02:26:26Z</dcterms:created>
  <dcterms:modified xsi:type="dcterms:W3CDTF">2026-10-10T02:26:26Z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