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Software</w:t>
      </w:r>
      <w:r>
        <w:t xml:space="preserve"> </w:t>
      </w:r>
      <w:r>
        <w:t xml:space="preserve">Engineering</w:t>
      </w:r>
      <w:r>
        <w:t xml:space="preserve"> </w:t>
      </w:r>
      <w:r>
        <w:t xml:space="preserve">Services</w:t>
      </w:r>
      <w:r>
        <w:t xml:space="preserve"> </w:t>
      </w:r>
      <w:r>
        <w:t xml:space="preserve">Invoice</w:t>
      </w:r>
      <w:r>
        <w:t xml:space="preserve"> </w:t>
      </w:r>
      <w:r>
        <w:t xml:space="preserve">-</w:t>
      </w:r>
      <w:r>
        <w:t xml:space="preserve"> </w:t>
      </w:r>
      <w:r>
        <w:t xml:space="preserve">Jakarta,</w:t>
      </w:r>
      <w:r>
        <w:t xml:space="preserve"> </w:t>
      </w:r>
      <w:r>
        <w:t xml:space="preserve">Indonesia</w:t>
      </w:r>
    </w:p>
    <w:bookmarkStart w:id="20" w:name="nusantara-tech-solutions"/>
    <w:p>
      <w:pPr>
        <w:pStyle w:val="Heading1"/>
      </w:pPr>
      <w:r>
        <w:t xml:space="preserve">Nusantara Tech Solutions</w:t>
      </w:r>
    </w:p>
    <w:p>
      <w:pPr>
        <w:pStyle w:val="FirstParagraph"/>
      </w:pPr>
      <w:r>
        <w:rPr>
          <w:bCs/>
          <w:b/>
        </w:rPr>
        <w:t xml:space="preserve">Professional Software Engineering Services</w:t>
      </w:r>
    </w:p>
    <w:p>
      <w:pPr>
        <w:pStyle w:val="BodyText"/>
      </w:pPr>
      <w:r>
        <w:t xml:space="preserve">Jl. Sudirman Kav. 52-53, SCBD Lot 9, Level 15</w:t>
      </w:r>
    </w:p>
    <w:p>
      <w:pPr>
        <w:pStyle w:val="BodyText"/>
      </w:pPr>
      <w:r>
        <w:t xml:space="preserve">Jakarta Selatan, DKI Jakarta 12190</w:t>
      </w:r>
    </w:p>
    <w:p>
      <w:pPr>
        <w:pStyle w:val="BodyText"/>
      </w:pPr>
      <w:r>
        <w:t xml:space="preserve">Indonesia</w:t>
      </w:r>
    </w:p>
    <w:p>
      <w:pPr>
        <w:pStyle w:val="BodyText"/>
      </w:pPr>
      <w:r>
        <w:t xml:space="preserve">Email: billing@nusantaratech.id | Phone: +62 21 5555 8888</w:t>
      </w:r>
    </w:p>
    <w:p>
      <w:pPr>
        <w:pStyle w:val="BodyText"/>
      </w:pPr>
      <w:r>
        <w:t xml:space="preserve">NPWP: 01.234.567.8-901.000</w:t>
      </w:r>
    </w:p>
    <w:bookmarkEnd w:id="20"/>
    <w:bookmarkStart w:id="21" w:name="invoice"/>
    <w:p>
      <w:pPr>
        <w:pStyle w:val="Heading2"/>
      </w:pPr>
      <w:r>
        <w:t xml:space="preserve">INVOICE</w:t>
      </w:r>
    </w:p>
    <w:p>
      <w:pPr>
        <w:pStyle w:val="FirstParagraph"/>
      </w:pPr>
      <w:r>
        <w:t xml:space="preserve">Software Development &amp; Engineering</w:t>
      </w:r>
    </w:p>
    <w:bookmarkEnd w:id="21"/>
    <w:bookmarkStart w:id="22" w:name="bill-to"/>
    <w:p>
      <w:pPr>
        <w:pStyle w:val="Heading3"/>
      </w:pPr>
      <w:r>
        <w:t xml:space="preserve">Bill To:</w:t>
      </w:r>
    </w:p>
    <w:p>
      <w:pPr>
        <w:pStyle w:val="FirstParagraph"/>
      </w:pPr>
      <w:r>
        <w:rPr>
          <w:bCs/>
          <w:b/>
        </w:rPr>
        <w:t xml:space="preserve">PT Global Enterprise Indonesia</w:t>
      </w:r>
    </w:p>
    <w:p>
      <w:pPr>
        <w:pStyle w:val="BodyText"/>
      </w:pPr>
      <w:r>
        <w:t xml:space="preserve">Attn: Chief Technology Officer</w:t>
      </w:r>
    </w:p>
    <w:p>
      <w:pPr>
        <w:pStyle w:val="BodyText"/>
      </w:pPr>
      <w:r>
        <w:t xml:space="preserve">Jl. Gatot Subroto Kav. 37, Jakarta Pusat</w:t>
      </w:r>
    </w:p>
    <w:p>
      <w:pPr>
        <w:pStyle w:val="BodyText"/>
      </w:pPr>
      <w:r>
        <w:t xml:space="preserve">DKI Jakarta 10270, Indonesia</w:t>
      </w:r>
    </w:p>
    <w:p>
      <w:pPr>
        <w:pStyle w:val="BodyText"/>
      </w:pPr>
      <w:r>
        <w:t xml:space="preserve">Email: finance@globalenterprise.co.id</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INV-JKT-2023-0045</w:t>
      </w:r>
    </w:p>
    <w:p>
      <w:pPr>
        <w:pStyle w:val="BodyText"/>
      </w:pPr>
      <w:r>
        <w:rPr>
          <w:bCs/>
          <w:b/>
        </w:rPr>
        <w:t xml:space="preserve">Date Issued:</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Project Reference:</w:t>
      </w:r>
      <w:r>
        <w:t xml:space="preserve"> </w:t>
      </w:r>
      <w:r>
        <w:t xml:space="preserve">ERP System Migration &amp; API Integration</w:t>
      </w:r>
    </w:p>
    <w:p>
      <w:pPr>
        <w:pStyle w:val="BodyText"/>
      </w:pPr>
      <w:r>
        <w:rPr>
          <w:bCs/>
          <w:b/>
        </w:rPr>
        <w:t xml:space="preserve">Service Period:</w:t>
      </w:r>
      <w:r>
        <w:t xml:space="preserve"> </w:t>
      </w:r>
      <w:r>
        <w:t xml:space="preserve">October 01, 2023 - October 31,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Software Engineering Services</w:t>
            </w:r>
          </w:p>
        </w:tc>
        <w:tc>
          <w:tcPr/>
          <w:p>
            <w:pPr>
              <w:pStyle w:val="Compact"/>
              <w:jc w:val="left"/>
            </w:pPr>
            <w:r>
              <w:t xml:space="preserve">Hours / Qty</w:t>
            </w:r>
          </w:p>
        </w:tc>
        <w:tc>
          <w:tcPr/>
          <w:p>
            <w:pPr>
              <w:pStyle w:val="Compact"/>
              <w:jc w:val="left"/>
            </w:pPr>
            <w:r>
              <w:t xml:space="preserve">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rPr>
                <w:bCs/>
                <w:b/>
              </w:rPr>
              <w:t xml:space="preserve">Senior Software Engineer - Backend Architecture</w:t>
            </w:r>
            <w:r>
              <w:br/>
            </w:r>
            <w:r>
              <w:t xml:space="preserve">Design and implementation of microservices architecture for the new ERP module. Includes database schema optimization, API gateway configuration, and security protocol implementation tailored for Jakarta data center compliance.</w:t>
            </w:r>
          </w:p>
        </w:tc>
        <w:tc>
          <w:tcPr/>
          <w:p>
            <w:pPr>
              <w:pStyle w:val="Compact"/>
              <w:jc w:val="left"/>
            </w:pPr>
            <w:r>
              <w:t xml:space="preserve">80</w:t>
            </w:r>
          </w:p>
        </w:tc>
        <w:tc>
          <w:tcPr/>
          <w:p>
            <w:pPr>
              <w:pStyle w:val="Compact"/>
              <w:jc w:val="left"/>
            </w:pPr>
            <w:r>
              <w:t xml:space="preserve">1,500,000</w:t>
            </w:r>
          </w:p>
        </w:tc>
        <w:tc>
          <w:tcPr/>
          <w:p>
            <w:pPr>
              <w:pStyle w:val="Compact"/>
              <w:jc w:val="left"/>
            </w:pPr>
            <w:r>
              <w:t xml:space="preserve">120,000,000</w:t>
            </w:r>
          </w:p>
        </w:tc>
      </w:tr>
      <w:tr>
        <w:tc>
          <w:tcPr/>
          <w:p>
            <w:pPr>
              <w:pStyle w:val="Compact"/>
              <w:jc w:val="left"/>
            </w:pPr>
            <w:r>
              <w:t xml:space="preserve">2</w:t>
            </w:r>
          </w:p>
        </w:tc>
        <w:tc>
          <w:tcPr/>
          <w:p>
            <w:pPr>
              <w:pStyle w:val="Compact"/>
              <w:jc w:val="left"/>
            </w:pPr>
            <w:r>
              <w:rPr>
                <w:bCs/>
                <w:b/>
              </w:rPr>
              <w:t xml:space="preserve">Full Stack Developer - Frontend Integration</w:t>
            </w:r>
            <w:r>
              <w:br/>
            </w:r>
            <w:r>
              <w:t xml:space="preserve">Development of responsive user interfaces using React.js. Integration with legacy systems via RESTful APIs. Ensuring cross-browser compatibility and mobile responsiveness for field agents operating in Indonesia.</w:t>
            </w:r>
          </w:p>
        </w:tc>
        <w:tc>
          <w:tcPr/>
          <w:p>
            <w:pPr>
              <w:pStyle w:val="Compact"/>
              <w:jc w:val="left"/>
            </w:pPr>
            <w:r>
              <w:t xml:space="preserve">60</w:t>
            </w:r>
          </w:p>
        </w:tc>
        <w:tc>
          <w:tcPr/>
          <w:p>
            <w:pPr>
              <w:pStyle w:val="Compact"/>
              <w:jc w:val="left"/>
            </w:pPr>
            <w:r>
              <w:t xml:space="preserve">1,200,000</w:t>
            </w:r>
          </w:p>
        </w:tc>
        <w:tc>
          <w:tcPr/>
          <w:p>
            <w:pPr>
              <w:pStyle w:val="Compact"/>
              <w:jc w:val="left"/>
            </w:pPr>
            <w:r>
              <w:t xml:space="preserve">72,000,000</w:t>
            </w:r>
          </w:p>
        </w:tc>
      </w:tr>
      <w:tr>
        <w:tc>
          <w:tcPr/>
          <w:p>
            <w:pPr>
              <w:pStyle w:val="Compact"/>
              <w:jc w:val="left"/>
            </w:pPr>
            <w:r>
              <w:t xml:space="preserve">3</w:t>
            </w:r>
          </w:p>
        </w:tc>
        <w:tc>
          <w:tcPr/>
          <w:p>
            <w:pPr>
              <w:pStyle w:val="Compact"/>
              <w:jc w:val="left"/>
            </w:pPr>
            <w:r>
              <w:rPr>
                <w:bCs/>
                <w:b/>
              </w:rPr>
              <w:t xml:space="preserve">DevOps Engineer - CI/CD Pipeline Setup</w:t>
            </w:r>
            <w:r>
              <w:br/>
            </w:r>
            <w:r>
              <w:t xml:space="preserve">Configuration of automated testing and deployment pipelines using Jenkins and Docker. Infrastructure as Code (IaC) implementation for AWS Jakarta Region (ap-southeast-1) to ensure low latency and data sovereignty.</w:t>
            </w:r>
          </w:p>
        </w:tc>
        <w:tc>
          <w:tcPr/>
          <w:p>
            <w:pPr>
              <w:pStyle w:val="Compact"/>
              <w:jc w:val="left"/>
            </w:pPr>
            <w:r>
              <w:t xml:space="preserve">40</w:t>
            </w:r>
          </w:p>
        </w:tc>
        <w:tc>
          <w:tcPr/>
          <w:p>
            <w:pPr>
              <w:pStyle w:val="Compact"/>
              <w:jc w:val="left"/>
            </w:pPr>
            <w:r>
              <w:t xml:space="preserve">1,400,000</w:t>
            </w:r>
          </w:p>
        </w:tc>
        <w:tc>
          <w:tcPr/>
          <w:p>
            <w:pPr>
              <w:pStyle w:val="Compact"/>
              <w:jc w:val="left"/>
            </w:pPr>
            <w:r>
              <w:t xml:space="preserve">56,000,000</w:t>
            </w:r>
          </w:p>
        </w:tc>
      </w:tr>
      <w:tr>
        <w:tc>
          <w:tcPr/>
          <w:p>
            <w:pPr>
              <w:pStyle w:val="Compact"/>
              <w:jc w:val="left"/>
            </w:pPr>
            <w:r>
              <w:t xml:space="preserve">4</w:t>
            </w:r>
          </w:p>
        </w:tc>
        <w:tc>
          <w:tcPr/>
          <w:p>
            <w:pPr>
              <w:pStyle w:val="Compact"/>
              <w:jc w:val="left"/>
            </w:pPr>
            <w:r>
              <w:rPr>
                <w:bCs/>
                <w:b/>
              </w:rPr>
              <w:t xml:space="preserve">QA Engineer - Automated Testing Suite</w:t>
            </w:r>
            <w:r>
              <w:br/>
            </w:r>
            <w:r>
              <w:t xml:space="preserve">Creation of unit tests, integration tests, and end-to-end testing scripts. Performance load testing to simulate high-traffic scenarios typical of peak business hours in Jakarta.</w:t>
            </w:r>
          </w:p>
        </w:tc>
        <w:tc>
          <w:tcPr/>
          <w:p>
            <w:pPr>
              <w:pStyle w:val="Compact"/>
              <w:jc w:val="left"/>
            </w:pPr>
            <w:r>
              <w:t xml:space="preserve">30</w:t>
            </w:r>
          </w:p>
        </w:tc>
        <w:tc>
          <w:tcPr/>
          <w:p>
            <w:pPr>
              <w:pStyle w:val="Compact"/>
              <w:jc w:val="left"/>
            </w:pPr>
            <w:r>
              <w:t xml:space="preserve">1,000,000</w:t>
            </w:r>
          </w:p>
        </w:tc>
        <w:tc>
          <w:tcPr/>
          <w:p>
            <w:pPr>
              <w:pStyle w:val="Compact"/>
              <w:jc w:val="left"/>
            </w:pPr>
            <w:r>
              <w:t xml:space="preserve">30,000,000</w:t>
            </w:r>
          </w:p>
        </w:tc>
      </w:tr>
      <w:tr>
        <w:tc>
          <w:tcPr/>
          <w:p>
            <w:pPr>
              <w:pStyle w:val="Compact"/>
              <w:jc w:val="left"/>
            </w:pPr>
            <w:r>
              <w:t xml:space="preserve">5</w:t>
            </w:r>
          </w:p>
        </w:tc>
        <w:tc>
          <w:tcPr/>
          <w:p>
            <w:pPr>
              <w:pStyle w:val="Compact"/>
              <w:jc w:val="left"/>
            </w:pPr>
            <w:r>
              <w:rPr>
                <w:bCs/>
                <w:b/>
              </w:rPr>
              <w:t xml:space="preserve">Technical Documentation &amp; Knowledge Transfer</w:t>
            </w:r>
            <w:r>
              <w:br/>
            </w:r>
            <w:r>
              <w:t xml:space="preserve">Comprehensive documentation of system architecture, API endpoints, and deployment procedures. Conducting training sessions for the internal IT team in Jakarta to ensure smooth handover and future maintenance.</w:t>
            </w:r>
          </w:p>
        </w:tc>
        <w:tc>
          <w:tcPr/>
          <w:p>
            <w:pPr>
              <w:pStyle w:val="Compact"/>
              <w:jc w:val="left"/>
            </w:pPr>
            <w:r>
              <w:t xml:space="preserve">20</w:t>
            </w:r>
          </w:p>
        </w:tc>
        <w:tc>
          <w:tcPr/>
          <w:p>
            <w:pPr>
              <w:pStyle w:val="Compact"/>
              <w:jc w:val="left"/>
            </w:pPr>
            <w:r>
              <w:t xml:space="preserve">1,300,000</w:t>
            </w:r>
          </w:p>
        </w:tc>
        <w:tc>
          <w:tcPr/>
          <w:p>
            <w:pPr>
              <w:pStyle w:val="Compact"/>
              <w:jc w:val="left"/>
            </w:pPr>
            <w:r>
              <w:t xml:space="preserve">26,000,000</w:t>
            </w:r>
          </w:p>
        </w:tc>
      </w:tr>
    </w:tbl>
    <w:p>
      <w:pPr>
        <w:pStyle w:val="BodyText"/>
      </w:pPr>
      <w:r>
        <w:t xml:space="preserve">Subtotal:</w:t>
      </w:r>
      <w:r>
        <w:t xml:space="preserve"> </w:t>
      </w:r>
      <w:r>
        <w:t xml:space="preserve">IDR 304,000,000</w:t>
      </w:r>
    </w:p>
    <w:p>
      <w:pPr>
        <w:pStyle w:val="BodyText"/>
      </w:pPr>
      <w:r>
        <w:t xml:space="preserve">VAT (PPN) 11%:</w:t>
      </w:r>
      <w:r>
        <w:t xml:space="preserve"> </w:t>
      </w:r>
      <w:r>
        <w:t xml:space="preserve">IDR 33,440,000</w:t>
      </w:r>
    </w:p>
    <w:p>
      <w:pPr>
        <w:pStyle w:val="BodyText"/>
      </w:pPr>
      <w:r>
        <w:t xml:space="preserve">Total Due:</w:t>
      </w:r>
      <w:r>
        <w:t xml:space="preserve"> </w:t>
      </w:r>
      <w:r>
        <w:t xml:space="preserve">IDR 337,440,000</w:t>
      </w:r>
    </w:p>
    <w:p>
      <w:pPr>
        <w:pStyle w:val="BodyText"/>
      </w:pPr>
      <w:r>
        <w:rPr>
          <w:iCs/>
          <w:i/>
        </w:rPr>
        <w:t xml:space="preserve">Amount in words: Three Hundred Thirty-Seven Million Four Hundred Forty Thousand Indonesian Rupiah.</w:t>
      </w:r>
    </w:p>
    <w:bookmarkStart w:id="24" w:name="payment-terms-conditions"/>
    <w:p>
      <w:pPr>
        <w:pStyle w:val="Heading4"/>
      </w:pPr>
      <w:r>
        <w:t xml:space="preserve">Payment Terms &amp; Conditions:</w:t>
      </w:r>
    </w:p>
    <w:p>
      <w:pPr>
        <w:pStyle w:val="FirstParagraph"/>
      </w:pPr>
      <w:r>
        <w:t xml:space="preserve">1. Payment is due within 30 days from the date of this invoice. Late payments may incur a penalty of 2% per month.</w:t>
      </w:r>
      <w:r>
        <w:br/>
      </w:r>
      <w:r>
        <w:t xml:space="preserve">2. All services rendered are subject to the terms and conditions outlined in the Master Services Agreement (MSA) signed on September 15, 2023.</w:t>
      </w:r>
      <w:r>
        <w:br/>
      </w:r>
      <w:r>
        <w:t xml:space="preserve">3. This invoice is issued in accordance with Indonesian tax regulations. The VAT (PPN) is calculated at the current rate of 11%.</w:t>
      </w:r>
      <w:r>
        <w:br/>
      </w:r>
      <w:r>
        <w:t xml:space="preserve">4. Please include the invoice number (INV-JKT-2023-0045) as a reference when making the payment.</w:t>
      </w:r>
      <w:r>
        <w:br/>
      </w:r>
      <w:r>
        <w:t xml:space="preserve">5. For any discrepancies or questions regarding this invoice, please contact our finance department at billing@nusantaratech.id.</w:t>
      </w:r>
    </w:p>
    <w:bookmarkEnd w:id="24"/>
    <w:bookmarkStart w:id="25" w:name="bank-transfer-details"/>
    <w:p>
      <w:pPr>
        <w:pStyle w:val="Heading4"/>
      </w:pPr>
      <w:r>
        <w:t xml:space="preserve">Bank Transfer Details:</w:t>
      </w:r>
    </w:p>
    <w:p>
      <w:pPr>
        <w:pStyle w:val="FirstParagraph"/>
      </w:pPr>
      <w:r>
        <w:rPr>
          <w:bCs/>
          <w:b/>
        </w:rPr>
        <w:t xml:space="preserve">Bank Name:</w:t>
      </w:r>
      <w:r>
        <w:t xml:space="preserve"> </w:t>
      </w:r>
      <w:r>
        <w:t xml:space="preserve">Bank Central Asia (BCA)</w:t>
      </w:r>
    </w:p>
    <w:p>
      <w:pPr>
        <w:pStyle w:val="BodyText"/>
      </w:pPr>
      <w:r>
        <w:rPr>
          <w:bCs/>
          <w:b/>
        </w:rPr>
        <w:t xml:space="preserve">Account Name:</w:t>
      </w:r>
      <w:r>
        <w:t xml:space="preserve"> </w:t>
      </w:r>
      <w:r>
        <w:t xml:space="preserve">PT Nusantara Tech Solutions</w:t>
      </w:r>
    </w:p>
    <w:p>
      <w:pPr>
        <w:pStyle w:val="BodyText"/>
      </w:pPr>
      <w:r>
        <w:rPr>
          <w:bCs/>
          <w:b/>
        </w:rPr>
        <w:t xml:space="preserve">Account Number:</w:t>
      </w:r>
      <w:r>
        <w:t xml:space="preserve"> </w:t>
      </w:r>
      <w:r>
        <w:t xml:space="preserve">123-456-7890</w:t>
      </w:r>
    </w:p>
    <w:p>
      <w:pPr>
        <w:pStyle w:val="BodyText"/>
      </w:pPr>
      <w:r>
        <w:rPr>
          <w:bCs/>
          <w:b/>
        </w:rPr>
        <w:t xml:space="preserve">Branch:</w:t>
      </w:r>
      <w:r>
        <w:t xml:space="preserve"> </w:t>
      </w:r>
      <w:r>
        <w:t xml:space="preserve">Jakarta Sudirman</w:t>
      </w:r>
    </w:p>
    <w:p>
      <w:pPr>
        <w:pStyle w:val="BodyText"/>
      </w:pPr>
      <w:r>
        <w:rPr>
          <w:bCs/>
          <w:b/>
        </w:rPr>
        <w:t xml:space="preserve">SWIFT Code:</w:t>
      </w:r>
      <w:r>
        <w:t xml:space="preserve"> </w:t>
      </w:r>
      <w:r>
        <w:t xml:space="preserve">CENAIDJA</w:t>
      </w:r>
    </w:p>
    <w:bookmarkEnd w:id="25"/>
    <w:bookmarkStart w:id="26" w:name="service-scope-clarification"/>
    <w:p>
      <w:pPr>
        <w:pStyle w:val="Heading4"/>
      </w:pPr>
      <w:r>
        <w:t xml:space="preserve">Service Scope Clarification:</w:t>
      </w:r>
    </w:p>
    <w:p>
      <w:pPr>
        <w:pStyle w:val="FirstParagraph"/>
      </w:pPr>
      <w:r>
        <w:t xml:space="preserve">This invoice covers the professional services provided by our team of Software Engineers based in Jakarta, Indonesia. The work includes but is not limited to software design, coding, testing, deployment, and documentation. All intellectual property rights for the custom-developed software will be transferred to PT Global Enterprise Indonesia upon full payment of this invoice. Our team adheres to international best practices in software engineering, including Agile methodologies, secure coding standards, and continuous integration/continuous deployment (CI/CD) principles. The services were delivered remotely and on-site at your Jakarta office as per the agreed schedule.</w:t>
      </w:r>
    </w:p>
    <w:bookmarkEnd w:id="26"/>
    <w:p>
      <w:pPr>
        <w:pStyle w:val="BodyText"/>
      </w:pPr>
      <w:r>
        <w:t xml:space="preserve">Thank you for your business. We appreciate your trust in our software engineering expertise.</w:t>
      </w:r>
    </w:p>
    <w:p>
      <w:pPr>
        <w:pStyle w:val="BodyText"/>
      </w:pPr>
      <w:r>
        <w:t xml:space="preserve">Nusantara Tech Solutions | Jl. Sudirman Kav. 52-53, Jakarta Selatan, DKI Jakarta 12190, Indonesia</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Software Engineering Services Invoice - Jakarta, Indonesia</dc:title>
  <dc:creator/>
  <dc:language>en</dc:language>
  <cp:keywords/>
  <dcterms:created xsi:type="dcterms:W3CDTF">2026-10-10T03:05:56Z</dcterms:created>
  <dcterms:modified xsi:type="dcterms:W3CDTF">2026-10-10T03:05:56Z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