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al-mutanabi-digital-solutions"/>
    <w:p>
      <w:pPr>
        <w:pStyle w:val="Heading1"/>
      </w:pPr>
      <w:r>
        <w:t xml:space="preserve">AL-MUTANABI DIGITAL SOLUTIONS</w:t>
      </w:r>
    </w:p>
    <w:p>
      <w:pPr>
        <w:pStyle w:val="FirstParagraph"/>
      </w:pPr>
      <w:r>
        <w:t xml:space="preserve">Software Engineering &amp; IT Consultancy</w:t>
      </w:r>
    </w:p>
    <w:p>
      <w:pPr>
        <w:pStyle w:val="BodyText"/>
      </w:pPr>
      <w:r>
        <w:t xml:space="preserve">Office 402, Al-Rai Tower, Al-Mubarakiya</w:t>
      </w:r>
    </w:p>
    <w:p>
      <w:pPr>
        <w:pStyle w:val="BodyText"/>
      </w:pPr>
      <w:r>
        <w:t xml:space="preserve">Kuwait City, State of Kuwait</w:t>
      </w:r>
    </w:p>
    <w:p>
      <w:pPr>
        <w:pStyle w:val="BodyText"/>
      </w:pPr>
      <w:r>
        <w:t xml:space="preserve">Tax Registration Number: TRN-2024-KW-8842</w:t>
      </w:r>
    </w:p>
    <w:p>
      <w:pPr>
        <w:pStyle w:val="BodyText"/>
      </w:pPr>
      <w:r>
        <w:t xml:space="preserve">Email: billing@almutanabi-digital.com.kw</w:t>
      </w:r>
    </w:p>
    <w:p>
      <w:pPr>
        <w:pStyle w:val="BodyText"/>
      </w:pPr>
      <w:r>
        <w:t xml:space="preserve">Phone: +965 2244 8899</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Al-Futtaim Automotive Group</w:t>
      </w:r>
    </w:p>
    <w:p>
      <w:pPr>
        <w:pStyle w:val="BodyText"/>
      </w:pPr>
      <w:r>
        <w:t xml:space="preserve">Attn: Chief Technology Officer</w:t>
      </w:r>
    </w:p>
    <w:p>
      <w:pPr>
        <w:pStyle w:val="BodyText"/>
      </w:pPr>
      <w:r>
        <w:t xml:space="preserve">Headquarters, Shuwaikh Industrial Area</w:t>
      </w:r>
    </w:p>
    <w:p>
      <w:pPr>
        <w:pStyle w:val="BodyText"/>
      </w:pPr>
      <w:r>
        <w:t xml:space="preserve">Kuwait City, State of Kuwait</w:t>
      </w:r>
    </w:p>
    <w:p>
      <w:pPr>
        <w:pStyle w:val="BodyText"/>
      </w:pPr>
      <w:r>
        <w:t xml:space="preserve">PO Box: 12345</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SE-KW-2024-Q3</w:t>
            </w:r>
          </w:p>
        </w:tc>
      </w:tr>
      <w:tr>
        <w:tc>
          <w:tcPr/>
          <w:p>
            <w:pPr>
              <w:pStyle w:val="Compact"/>
              <w:jc w:val="left"/>
            </w:pPr>
            <w:r>
              <w:t xml:space="preserve">Currency:</w:t>
            </w:r>
          </w:p>
        </w:tc>
        <w:tc>
          <w:tcPr/>
          <w:p>
            <w:pPr>
              <w:pStyle w:val="Compact"/>
              <w:jc w:val="left"/>
            </w:pPr>
            <w:r>
              <w:t xml:space="preserve">Kuwaiti Dinar (KWD)</w:t>
            </w:r>
          </w:p>
        </w:tc>
      </w:tr>
    </w:tbl>
    <w:bookmarkStart w:id="23" w:name="X05ce3f48e0f38953a0e1c70c70e3ad3e43e70f0"/>
    <w:p>
      <w:pPr>
        <w:pStyle w:val="Heading3"/>
      </w:pPr>
      <w:r>
        <w:t xml:space="preserve">Description of Software Engineering Services</w:t>
      </w:r>
    </w:p>
    <w:p>
      <w:pPr>
        <w:pStyle w:val="FirstParagraph"/>
      </w:pPr>
      <w:r>
        <w:t xml:space="preserve">This Invoice represents the professional fees for specialized Software Engineer services rendered during the period of September 1, 2024, to September 30, 2024. These services were performed in accordance with the Master Services Agreement (MSA) signed between Al-Mutanabi Digital Solutions and Al-Futtaim Automotive Group. The work was conducted primarily at our development center in Kuwait City, with on-site collaboration as required. The scope includes full-stack development, system architecture design, API integration, and quality assurance testing for the enterprise resource planning (ERP) modernization project.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Hours/Units</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rPr>
                <w:bCs/>
                <w:b/>
              </w:rPr>
              <w:t xml:space="preserve">Senior Software Engineer - Backend Development</w:t>
            </w:r>
            <w:r>
              <w:br/>
            </w:r>
            <w:r>
              <w:t xml:space="preserve">Design and implementation of microservices architecture using Node.js and Python. Database optimization for PostgreSQL clusters. API gateway configuration and security hardening.</w:t>
            </w:r>
          </w:p>
        </w:tc>
        <w:tc>
          <w:tcPr/>
          <w:p>
            <w:pPr>
              <w:pStyle w:val="Compact"/>
              <w:jc w:val="left"/>
            </w:pPr>
            <w:r>
              <w:t xml:space="preserve">160</w:t>
            </w:r>
          </w:p>
        </w:tc>
        <w:tc>
          <w:tcPr/>
          <w:p>
            <w:pPr>
              <w:pStyle w:val="Compact"/>
              <w:jc w:val="left"/>
            </w:pPr>
            <w:r>
              <w:t xml:space="preserve">4.50</w:t>
            </w:r>
          </w:p>
        </w:tc>
        <w:tc>
          <w:tcPr/>
          <w:p>
            <w:pPr>
              <w:pStyle w:val="Compact"/>
              <w:jc w:val="left"/>
            </w:pPr>
            <w:r>
              <w:t xml:space="preserve">720.00</w:t>
            </w:r>
          </w:p>
        </w:tc>
      </w:tr>
      <w:tr>
        <w:tc>
          <w:tcPr/>
          <w:p>
            <w:pPr>
              <w:pStyle w:val="Compact"/>
              <w:jc w:val="left"/>
            </w:pPr>
            <w:r>
              <w:t xml:space="preserve">2</w:t>
            </w:r>
          </w:p>
        </w:tc>
        <w:tc>
          <w:tcPr/>
          <w:p>
            <w:pPr>
              <w:pStyle w:val="Compact"/>
              <w:jc w:val="left"/>
            </w:pPr>
            <w:r>
              <w:rPr>
                <w:bCs/>
                <w:b/>
              </w:rPr>
              <w:t xml:space="preserve">Senior Software Engineer - Frontend Development</w:t>
            </w:r>
            <w:r>
              <w:br/>
            </w:r>
            <w:r>
              <w:t xml:space="preserve">Development of responsive user interfaces using React.js and TypeScript. Integration with internal authentication systems. Performance optimization for web applications.</w:t>
            </w:r>
          </w:p>
        </w:tc>
        <w:tc>
          <w:tcPr/>
          <w:p>
            <w:pPr>
              <w:pStyle w:val="Compact"/>
              <w:jc w:val="left"/>
            </w:pPr>
            <w:r>
              <w:t xml:space="preserve">160</w:t>
            </w:r>
          </w:p>
        </w:tc>
        <w:tc>
          <w:tcPr/>
          <w:p>
            <w:pPr>
              <w:pStyle w:val="Compact"/>
              <w:jc w:val="left"/>
            </w:pPr>
            <w:r>
              <w:t xml:space="preserve">4.25</w:t>
            </w:r>
          </w:p>
        </w:tc>
        <w:tc>
          <w:tcPr/>
          <w:p>
            <w:pPr>
              <w:pStyle w:val="Compact"/>
              <w:jc w:val="left"/>
            </w:pPr>
            <w:r>
              <w:t xml:space="preserve">680.00</w:t>
            </w:r>
          </w:p>
        </w:tc>
      </w:tr>
      <w:tr>
        <w:tc>
          <w:tcPr/>
          <w:p>
            <w:pPr>
              <w:pStyle w:val="Compact"/>
              <w:jc w:val="left"/>
            </w:pPr>
            <w:r>
              <w:t xml:space="preserve">3</w:t>
            </w:r>
          </w:p>
        </w:tc>
        <w:tc>
          <w:tcPr/>
          <w:p>
            <w:pPr>
              <w:pStyle w:val="Compact"/>
              <w:jc w:val="left"/>
            </w:pPr>
            <w:r>
              <w:rPr>
                <w:bCs/>
                <w:b/>
              </w:rPr>
              <w:t xml:space="preserve">DevOps &amp; Cloud Infrastructure Engineering</w:t>
            </w:r>
            <w:r>
              <w:br/>
            </w:r>
            <w:r>
              <w:t xml:space="preserve">AWS infrastructure setup in the Middle East region. CI/CD pipeline configuration using Jenkins and Docker. Monitoring and logging implementation with Prometheus and Grafana.</w:t>
            </w:r>
          </w:p>
        </w:tc>
        <w:tc>
          <w:tcPr/>
          <w:p>
            <w:pPr>
              <w:pStyle w:val="Compact"/>
              <w:jc w:val="left"/>
            </w:pPr>
            <w:r>
              <w:t xml:space="preserve">80</w:t>
            </w:r>
          </w:p>
        </w:tc>
        <w:tc>
          <w:tcPr/>
          <w:p>
            <w:pPr>
              <w:pStyle w:val="Compact"/>
              <w:jc w:val="left"/>
            </w:pPr>
            <w:r>
              <w:t xml:space="preserve">5.00</w:t>
            </w:r>
          </w:p>
        </w:tc>
        <w:tc>
          <w:tcPr/>
          <w:p>
            <w:pPr>
              <w:pStyle w:val="Compact"/>
              <w:jc w:val="left"/>
            </w:pPr>
            <w:r>
              <w:t xml:space="preserve">400.00</w:t>
            </w:r>
          </w:p>
        </w:tc>
      </w:tr>
      <w:tr>
        <w:tc>
          <w:tcPr/>
          <w:p>
            <w:pPr>
              <w:pStyle w:val="Compact"/>
              <w:jc w:val="left"/>
            </w:pPr>
            <w:r>
              <w:t xml:space="preserve">4</w:t>
            </w:r>
          </w:p>
        </w:tc>
        <w:tc>
          <w:tcPr/>
          <w:p>
            <w:pPr>
              <w:pStyle w:val="Compact"/>
              <w:jc w:val="left"/>
            </w:pPr>
            <w:r>
              <w:rPr>
                <w:bCs/>
                <w:b/>
              </w:rPr>
              <w:t xml:space="preserve">Quality Assurance &amp; Testing Engineering</w:t>
            </w:r>
            <w:r>
              <w:br/>
            </w:r>
            <w:r>
              <w:t xml:space="preserve">Automated testing framework development. Unit, integration, and end-to-end testing. Security vulnerability assessment and penetration testing coordination.</w:t>
            </w:r>
          </w:p>
        </w:tc>
        <w:tc>
          <w:tcPr/>
          <w:p>
            <w:pPr>
              <w:pStyle w:val="Compact"/>
              <w:jc w:val="left"/>
            </w:pPr>
            <w:r>
              <w:t xml:space="preserve">80</w:t>
            </w:r>
          </w:p>
        </w:tc>
        <w:tc>
          <w:tcPr/>
          <w:p>
            <w:pPr>
              <w:pStyle w:val="Compact"/>
              <w:jc w:val="left"/>
            </w:pPr>
            <w:r>
              <w:t xml:space="preserve">3.75</w:t>
            </w:r>
          </w:p>
        </w:tc>
        <w:tc>
          <w:tcPr/>
          <w:p>
            <w:pPr>
              <w:pStyle w:val="Compact"/>
              <w:jc w:val="left"/>
            </w:pPr>
            <w:r>
              <w:t xml:space="preserve">300.00</w:t>
            </w:r>
          </w:p>
        </w:tc>
      </w:tr>
      <w:tr>
        <w:tc>
          <w:tcPr/>
          <w:p>
            <w:pPr>
              <w:pStyle w:val="Compact"/>
              <w:jc w:val="left"/>
            </w:pPr>
            <w:r>
              <w:t xml:space="preserve">5</w:t>
            </w:r>
          </w:p>
        </w:tc>
        <w:tc>
          <w:tcPr/>
          <w:p>
            <w:pPr>
              <w:pStyle w:val="Compact"/>
              <w:jc w:val="left"/>
            </w:pPr>
            <w:r>
              <w:rPr>
                <w:bCs/>
                <w:b/>
              </w:rPr>
              <w:t xml:space="preserve">Technical Consultation &amp; Architecture Review</w:t>
            </w:r>
            <w:r>
              <w:br/>
            </w:r>
            <w:r>
              <w:t xml:space="preserve">Weekly architecture review meetings with client stakeholders in Kuwait City. Documentation of system design and technical specifications. Code review and mentoring sessions.</w:t>
            </w:r>
          </w:p>
        </w:tc>
        <w:tc>
          <w:tcPr/>
          <w:p>
            <w:pPr>
              <w:pStyle w:val="Compact"/>
              <w:jc w:val="left"/>
            </w:pPr>
            <w:r>
              <w:t xml:space="preserve">40</w:t>
            </w:r>
          </w:p>
        </w:tc>
        <w:tc>
          <w:tcPr/>
          <w:p>
            <w:pPr>
              <w:pStyle w:val="Compact"/>
              <w:jc w:val="left"/>
            </w:pPr>
            <w:r>
              <w:t xml:space="preserve">6.00</w:t>
            </w:r>
          </w:p>
        </w:tc>
        <w:tc>
          <w:tcPr/>
          <w:p>
            <w:pPr>
              <w:pStyle w:val="Compact"/>
              <w:jc w:val="left"/>
            </w:pPr>
            <w:r>
              <w:t xml:space="preserve">240.00</w:t>
            </w:r>
          </w:p>
        </w:tc>
      </w:tr>
      <w:tr>
        <w:tc>
          <w:tcPr/>
          <w:p>
            <w:pPr>
              <w:pStyle w:val="Compact"/>
              <w:jc w:val="left"/>
            </w:pPr>
            <w:r>
              <w:t xml:space="preserve">6</w:t>
            </w:r>
          </w:p>
        </w:tc>
        <w:tc>
          <w:tcPr/>
          <w:p>
            <w:pPr>
              <w:pStyle w:val="Compact"/>
              <w:jc w:val="left"/>
            </w:pPr>
            <w:r>
              <w:rPr>
                <w:bCs/>
                <w:b/>
              </w:rPr>
              <w:t xml:space="preserve">Third-Party API Integration Services</w:t>
            </w:r>
            <w:r>
              <w:br/>
            </w:r>
            <w:r>
              <w:t xml:space="preserve">Integration with Kuwaiti government e-services APIs. Payment gateway integration compliant with local banking regulations. SMS and notification service integration.</w:t>
            </w:r>
          </w:p>
        </w:tc>
        <w:tc>
          <w:tcPr/>
          <w:p>
            <w:pPr>
              <w:pStyle w:val="Compact"/>
              <w:jc w:val="left"/>
            </w:pPr>
            <w:r>
              <w:t xml:space="preserve">60</w:t>
            </w:r>
          </w:p>
        </w:tc>
        <w:tc>
          <w:tcPr/>
          <w:p>
            <w:pPr>
              <w:pStyle w:val="Compact"/>
              <w:jc w:val="left"/>
            </w:pPr>
            <w:r>
              <w:t xml:space="preserve">4.00</w:t>
            </w:r>
          </w:p>
        </w:tc>
        <w:tc>
          <w:tcPr/>
          <w:p>
            <w:pPr>
              <w:pStyle w:val="Compact"/>
              <w:jc w:val="left"/>
            </w:pPr>
            <w:r>
              <w:t xml:space="preserve">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2,580.00 KWD</w:t>
            </w:r>
          </w:p>
        </w:tc>
      </w:tr>
      <w:tr>
        <w:tc>
          <w:tcPr/>
          <w:p>
            <w:pPr>
              <w:pStyle w:val="Compact"/>
              <w:jc w:val="left"/>
            </w:pPr>
            <w:r>
              <w:t xml:space="preserve">VAT (5%):</w:t>
            </w:r>
          </w:p>
        </w:tc>
        <w:tc>
          <w:tcPr/>
          <w:p>
            <w:pPr>
              <w:pStyle w:val="Compact"/>
              <w:jc w:val="left"/>
            </w:pPr>
            <w:r>
              <w:t xml:space="preserve">129.00 KWD</w:t>
            </w:r>
          </w:p>
        </w:tc>
      </w:tr>
      <w:tr>
        <w:tc>
          <w:tcPr/>
          <w:p>
            <w:pPr>
              <w:pStyle w:val="Compact"/>
              <w:jc w:val="left"/>
            </w:pPr>
            <w:r>
              <w:t xml:space="preserve">Discount (Early Payment):</w:t>
            </w:r>
          </w:p>
        </w:tc>
        <w:tc>
          <w:tcPr/>
          <w:p>
            <w:pPr>
              <w:pStyle w:val="Compact"/>
              <w:jc w:val="left"/>
            </w:pPr>
            <w:r>
              <w:t xml:space="preserve">-50.00 KWD</w:t>
            </w:r>
          </w:p>
        </w:tc>
      </w:tr>
      <w:tr>
        <w:tc>
          <w:tcPr/>
          <w:p>
            <w:pPr>
              <w:pStyle w:val="Compact"/>
              <w:jc w:val="left"/>
            </w:pPr>
            <w:r>
              <w:t xml:space="preserve">TOTAL DUE:</w:t>
            </w:r>
          </w:p>
        </w:tc>
        <w:tc>
          <w:tcPr/>
          <w:p>
            <w:pPr>
              <w:pStyle w:val="Compact"/>
              <w:jc w:val="left"/>
            </w:pPr>
            <w:r>
              <w:t xml:space="preserve">2,659.00 KWD</w:t>
            </w:r>
          </w:p>
        </w:tc>
      </w:tr>
    </w:tbl>
    <w:bookmarkEnd w:id="23"/>
    <w:bookmarkStart w:id="24" w:name="payment-terms-conditions"/>
    <w:p>
      <w:pPr>
        <w:pStyle w:val="Heading3"/>
      </w:pPr>
      <w:r>
        <w:t xml:space="preserve">Payment Terms &amp; Conditions</w:t>
      </w:r>
    </w:p>
    <w:p>
      <w:pPr>
        <w:pStyle w:val="FirstParagraph"/>
      </w:pPr>
      <w:r>
        <w:t xml:space="preserve">Payment is due within 30 days from the date of this Invoice. Please make all payments in Kuwaiti Dinar (KWD) via bank transfer to the account details provided below. Late payments will incur a penalty of 2% per month on the outstanding balance, in accordance with Kuwaiti commercial law.</w:t>
      </w:r>
    </w:p>
    <w:p>
      <w:pPr>
        <w:pStyle w:val="BodyText"/>
      </w:pPr>
      <w:r>
        <w:rPr>
          <w:bCs/>
          <w:b/>
        </w:rPr>
        <w:t xml:space="preserve">Bank Details:</w:t>
      </w:r>
      <w:r>
        <w:br/>
      </w:r>
      <w:r>
        <w:t xml:space="preserve">Bank Name: National Bank of Kuwait (NBK)</w:t>
      </w:r>
      <w:r>
        <w:br/>
      </w:r>
      <w:r>
        <w:t xml:space="preserve">Account Name: Al-Mutanabi Digital Solutions W.L.L.</w:t>
      </w:r>
      <w:r>
        <w:br/>
      </w:r>
      <w:r>
        <w:t xml:space="preserve">IBAN: KW81NBOK0000000000001234567890</w:t>
      </w:r>
      <w:r>
        <w:br/>
      </w:r>
      <w:r>
        <w:t xml:space="preserve">SWIFT/BIC: NBOKKWKW</w:t>
      </w:r>
    </w:p>
    <w:bookmarkEnd w:id="24"/>
    <w:bookmarkStart w:id="25" w:name="service-scope-clarification"/>
    <w:p>
      <w:pPr>
        <w:pStyle w:val="Heading3"/>
      </w:pPr>
      <w:r>
        <w:t xml:space="preserve">Service Scope Clarification</w:t>
      </w:r>
    </w:p>
    <w:p>
      <w:pPr>
        <w:pStyle w:val="FirstParagraph"/>
      </w:pPr>
      <w:r>
        <w:t xml:space="preserve">This Invoice covers only the Software Engineer services explicitly listed above. Any additional services, emergency support, or scope changes requested during the billing period will be billed separately under a change order agreement. All intellectual property developed during this engagement remains the property of Al-Futtaim Automotive Group upon full payment of this Invoice, as stipulated in the MSA.</w:t>
      </w:r>
    </w:p>
    <w:bookmarkEnd w:id="25"/>
    <w:bookmarkStart w:id="26" w:name="compliance-statement"/>
    <w:p>
      <w:pPr>
        <w:pStyle w:val="Heading3"/>
      </w:pPr>
      <w:r>
        <w:t xml:space="preserve">Compliance Statement</w:t>
      </w:r>
    </w:p>
    <w:p>
      <w:pPr>
        <w:pStyle w:val="FirstParagraph"/>
      </w:pPr>
      <w:r>
        <w:t xml:space="preserve">All services rendered comply with the regulations set forth by the Kuwait Ministry of Commerce and Industry and the National Tax Authority. This Invoice is issued in accordance with Kuwait's Value Added Tax (VAT) Law. Please retain this document for your accounting and tax records.</w:t>
      </w:r>
    </w:p>
    <w:bookmarkEnd w:id="26"/>
    <w:p>
      <w:pPr>
        <w:pStyle w:val="BodyText"/>
      </w:pPr>
      <w:r>
        <w:rPr>
          <w:bCs/>
          <w:b/>
        </w:rPr>
        <w:t xml:space="preserve">Authorized Signature</w:t>
      </w:r>
    </w:p>
    <w:p>
      <w:pPr>
        <w:pStyle w:val="BodyText"/>
      </w:pPr>
      <w:r>
        <w:t xml:space="preserve">Al-Mutanabi Digital Solutions</w:t>
      </w:r>
    </w:p>
    <w:p>
      <w:pPr>
        <w:pStyle w:val="BodyText"/>
      </w:pPr>
      <w:r>
        <w:t xml:space="preserve">Issued by: Ahmed Al-Rashid</w:t>
      </w:r>
    </w:p>
    <w:p>
      <w:pPr>
        <w:pStyle w:val="BodyText"/>
      </w:pPr>
      <w:r>
        <w:t xml:space="preserve">Title: Chief Financial Officer</w:t>
      </w:r>
    </w:p>
    <w:p>
      <w:pPr>
        <w:pStyle w:val="BodyText"/>
      </w:pPr>
      <w:r>
        <w:rPr>
          <w:bCs/>
          <w:b/>
        </w:rPr>
        <w:t xml:space="preserve">Received By</w:t>
      </w:r>
    </w:p>
    <w:p>
      <w:pPr>
        <w:pStyle w:val="BodyText"/>
      </w:pPr>
      <w:r>
        <w:t xml:space="preserve">Al-Futtaim Automotive Group</w:t>
      </w:r>
    </w:p>
    <w:p>
      <w:pPr>
        <w:pStyle w:val="BodyText"/>
      </w:pPr>
      <w:r>
        <w:t xml:space="preserve">Date Received: _______________</w:t>
      </w:r>
    </w:p>
    <w:p>
      <w:pPr>
        <w:pStyle w:val="BodyText"/>
      </w:pPr>
      <w:r>
        <w:t xml:space="preserve">Signature: _______________</w:t>
      </w:r>
    </w:p>
    <w:p>
      <w:pPr>
        <w:pStyle w:val="BodyText"/>
      </w:pPr>
      <w:r>
        <w:t xml:space="preserve">Al-Mutanabi Digital Solutions W.L.L. | Commercial Registration: CR-2018-KW-55432 | Kuwait City, State of Kuwait</w:t>
      </w:r>
      <w:r>
        <w:br/>
      </w: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2026-10-10T06:11:03Z</dcterms:created>
  <dcterms:modified xsi:type="dcterms:W3CDTF">2026-10-10T06:11:03Z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