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Dubai,</w:t>
      </w:r>
      <w:r>
        <w:t xml:space="preserve"> </w:t>
      </w:r>
      <w:r>
        <w:t xml:space="preserve">UAE</w:t>
      </w:r>
    </w:p>
    <w:bookmarkStart w:id="20" w:name="technovate-solutions-fz-llc"/>
    <w:p>
      <w:pPr>
        <w:pStyle w:val="Heading1"/>
      </w:pPr>
      <w:r>
        <w:t xml:space="preserve">TECHNOVATE SOLUTIONS FZ-LLC</w:t>
      </w:r>
    </w:p>
    <w:p>
      <w:pPr>
        <w:pStyle w:val="FirstParagraph"/>
      </w:pPr>
      <w:r>
        <w:t xml:space="preserve">Software Engineering &amp; Digital Transformation</w:t>
      </w:r>
    </w:p>
    <w:p>
      <w:pPr>
        <w:pStyle w:val="BodyText"/>
      </w:pPr>
      <w:r>
        <w:t xml:space="preserve">Office 1204, Business Bay Tower, Dubai, United Arab Emirates</w:t>
      </w:r>
    </w:p>
    <w:p>
      <w:pPr>
        <w:pStyle w:val="BodyText"/>
      </w:pPr>
      <w:r>
        <w:t xml:space="preserve">P.O. Box 87654, Dubai, UAE</w:t>
      </w:r>
    </w:p>
    <w:p>
      <w:pPr>
        <w:pStyle w:val="BodyText"/>
      </w:pPr>
      <w:r>
        <w:t xml:space="preserve">Email: billing@technovatesolutions.ae</w:t>
      </w:r>
    </w:p>
    <w:p>
      <w:pPr>
        <w:pStyle w:val="BodyText"/>
      </w:pPr>
      <w:r>
        <w:t xml:space="preserve">Phone: +971 4 123 4567</w:t>
      </w:r>
    </w:p>
    <w:p>
      <w:pPr>
        <w:pStyle w:val="BodyText"/>
      </w:pPr>
      <w:r>
        <w:t xml:space="preserve">VAT Registration Number: 100 2345 6789 00003</w:t>
      </w:r>
    </w:p>
    <w:p>
      <w:pPr>
        <w:pStyle w:val="BodyText"/>
      </w:pPr>
      <w:r>
        <w:t xml:space="preserve">Trade License No: DMCC-123456</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Value Added Tax (VAT) Notice:</w:t>
      </w:r>
      <w:r>
        <w:t xml:space="preserve"> </w:t>
      </w:r>
      <w:r>
        <w:t xml:space="preserve">This invoice is issued in accordance with the Federal Decree-Law No. (8) of 2017 on Value Added Tax and its Executive Regulations in the United Arab Emirates. VAT is charged at the standard rate of 5% as applicable in Dubai and across the UAE.</w:t>
      </w:r>
    </w:p>
    <w:bookmarkStart w:id="22" w:name="bill-to"/>
    <w:p>
      <w:pPr>
        <w:pStyle w:val="Heading3"/>
      </w:pPr>
      <w:r>
        <w:t xml:space="preserve">Bill To:</w:t>
      </w:r>
    </w:p>
    <w:p>
      <w:pPr>
        <w:pStyle w:val="FirstParagraph"/>
      </w:pPr>
      <w:r>
        <w:rPr>
          <w:bCs/>
          <w:b/>
        </w:rPr>
        <w:t xml:space="preserve">Emirates Digital Holdings LLC</w:t>
      </w:r>
    </w:p>
    <w:p>
      <w:pPr>
        <w:pStyle w:val="BodyText"/>
      </w:pPr>
      <w:r>
        <w:t xml:space="preserve">Attn: Mr. Ahmed Al-Mansouri, Chief Technology Officer</w:t>
      </w:r>
    </w:p>
    <w:p>
      <w:pPr>
        <w:pStyle w:val="BodyText"/>
      </w:pPr>
      <w:r>
        <w:t xml:space="preserve">Level 25, Dubai Internet City, Building 12</w:t>
      </w:r>
    </w:p>
    <w:p>
      <w:pPr>
        <w:pStyle w:val="BodyText"/>
      </w:pPr>
      <w:r>
        <w:t xml:space="preserve">Dubai, United Arab Emirates</w:t>
      </w:r>
    </w:p>
    <w:p>
      <w:pPr>
        <w:pStyle w:val="BodyText"/>
      </w:pPr>
      <w:r>
        <w:t xml:space="preserve">P.O. Box 54321</w:t>
      </w:r>
    </w:p>
    <w:p>
      <w:pPr>
        <w:pStyle w:val="BodyText"/>
      </w:pPr>
      <w:r>
        <w:t xml:space="preserve">VAT Registration Number: 100 9876 5432 00007</w:t>
      </w:r>
    </w:p>
    <w:p>
      <w:pPr>
        <w:pStyle w:val="BodyText"/>
      </w:pPr>
      <w:r>
        <w:t xml:space="preserve">Email: accounts@emiratesdigital.ae</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 (Net 30 Days)</w:t>
      </w:r>
    </w:p>
    <w:p>
      <w:pPr>
        <w:pStyle w:val="BodyText"/>
      </w:pPr>
      <w:r>
        <w:rPr>
          <w:bCs/>
          <w:b/>
        </w:rPr>
        <w:t xml:space="preserve">Service Period:</w:t>
      </w:r>
      <w:r>
        <w:t xml:space="preserve"> </w:t>
      </w:r>
      <w:r>
        <w:t xml:space="preserve">December 1, 2023 - December 31, 2023</w:t>
      </w:r>
    </w:p>
    <w:p>
      <w:pPr>
        <w:pStyle w:val="BodyText"/>
      </w:pPr>
      <w:r>
        <w:rPr>
          <w:bCs/>
          <w:b/>
        </w:rPr>
        <w:t xml:space="preserve">Project Reference:</w:t>
      </w:r>
      <w:r>
        <w:t xml:space="preserve"> </w:t>
      </w:r>
      <w:r>
        <w:t xml:space="preserve">PRJ-EDI-2023-Q4-CloudMigration</w:t>
      </w:r>
    </w:p>
    <w:p>
      <w:pPr>
        <w:pStyle w:val="BodyText"/>
      </w:pPr>
      <w:r>
        <w:rPr>
          <w:bCs/>
          <w:b/>
        </w:rPr>
        <w:t xml:space="preserve">Currency:</w:t>
      </w:r>
      <w:r>
        <w:t xml:space="preserve"> </w:t>
      </w:r>
      <w:r>
        <w:t xml:space="preserve">United Arab Emirates Dirham (AED)</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Senior Software Engineer - Cloud Architecture Design</w:t>
            </w:r>
            <w:r>
              <w:br/>
            </w:r>
            <w:r>
              <w:t xml:space="preserve">Design and implementation of scalable microservices architecture on AWS for Dubai-based fintech platform. Includes system design documentation, API gateway configuration, and load balancing strategies compliant with UAE data residency requirements.</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Full-Stack Development - React &amp; Node.js</w:t>
            </w:r>
            <w:r>
              <w:br/>
            </w:r>
            <w:r>
              <w:t xml:space="preserve">Development of customer-facing web application with real-time transaction processing. Implementation of secure authentication modules, payment gateway integration with UAE banks, and responsive UI components optimized for mobile devices.</w:t>
            </w:r>
          </w:p>
        </w:tc>
        <w:tc>
          <w:tcPr/>
          <w:p>
            <w:pPr>
              <w:pStyle w:val="Compact"/>
              <w:jc w:val="left"/>
            </w:pPr>
            <w:r>
              <w:t xml:space="preserve">120</w:t>
            </w:r>
          </w:p>
        </w:tc>
        <w:tc>
          <w:tcPr/>
          <w:p>
            <w:pPr>
              <w:pStyle w:val="Compact"/>
              <w:jc w:val="left"/>
            </w:pPr>
            <w:r>
              <w:t xml:space="preserve">400.00</w:t>
            </w:r>
          </w:p>
        </w:tc>
        <w:tc>
          <w:tcPr/>
          <w:p>
            <w:pPr>
              <w:pStyle w:val="Compact"/>
              <w:jc w:val="left"/>
            </w:pPr>
            <w:r>
              <w:t xml:space="preserve">48,000.00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DevOps &amp; CI/CD Pipeline Implementation</w:t>
            </w:r>
            <w:r>
              <w:br/>
            </w:r>
            <w:r>
              <w:t xml:space="preserve">Setup of automated deployment pipelines using Jenkins and Docker. Configuration of container orchestration with Kubernetes, monitoring with Prometheus and Grafana, and implementation of security scanning tools to ensure compliance with Dubai Digital Government standards.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Database Optimization &amp; Security Hardening</w:t>
            </w:r>
            <w:r>
              <w:br/>
            </w:r>
            <w:r>
              <w:t xml:space="preserve">Performance tuning of PostgreSQL databases, implementation of encryption at rest and in transit, role-based access control configuration, and audit logging setup to meet UAE Central Bank cybersecurity guidelines for financial institutions.</w:t>
            </w:r>
          </w:p>
        </w:tc>
        <w:tc>
          <w:tcPr/>
          <w:p>
            <w:pPr>
              <w:pStyle w:val="Compact"/>
              <w:jc w:val="left"/>
            </w:pPr>
            <w:r>
              <w:t xml:space="preserve">30</w:t>
            </w:r>
          </w:p>
        </w:tc>
        <w:tc>
          <w:tcPr/>
          <w:p>
            <w:pPr>
              <w:pStyle w:val="Compact"/>
              <w:jc w:val="left"/>
            </w:pPr>
            <w:r>
              <w:t xml:space="preserve">475.00</w:t>
            </w:r>
          </w:p>
        </w:tc>
        <w:tc>
          <w:tcPr/>
          <w:p>
            <w:pPr>
              <w:pStyle w:val="Compact"/>
              <w:jc w:val="left"/>
            </w:pPr>
            <w:r>
              <w:t xml:space="preserve">14,250.00</w:t>
            </w:r>
          </w:p>
        </w:tc>
        <w:tc>
          <w:tcPr/>
          <w:p>
            <w:pPr>
              <w:pStyle w:val="Compact"/>
              <w:jc w:val="left"/>
            </w:pPr>
            <w:r>
              <w:t xml:space="preserve">712.50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Comprehensive API documentation using Swagger/OpenAPI, system architecture diagrams, deployment runbooks, and two knowledge transfer sessions with the client's internal development team in Dubai office.</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350.00</w:t>
            </w:r>
          </w:p>
        </w:tc>
      </w:tr>
      <w:tr>
        <w:tc>
          <w:tcPr/>
          <w:p>
            <w:pPr>
              <w:pStyle w:val="Compact"/>
              <w:jc w:val="left"/>
            </w:pPr>
            <w:r>
              <w:t xml:space="preserve">6</w:t>
            </w:r>
          </w:p>
        </w:tc>
        <w:tc>
          <w:tcPr/>
          <w:p>
            <w:pPr>
              <w:pStyle w:val="Compact"/>
              <w:jc w:val="left"/>
            </w:pPr>
            <w:r>
              <w:rPr>
                <w:bCs/>
                <w:b/>
              </w:rPr>
              <w:t xml:space="preserve">Quality Assurance &amp; Automated Testing</w:t>
            </w:r>
            <w:r>
              <w:br/>
            </w:r>
            <w:r>
              <w:t xml:space="preserve">Implementation of unit tests, integration tests, and end-to-end testing suites using Jest and Cypress. Performance testing under simulated high-load conditions typical of Dubai's peak business hours.</w:t>
            </w:r>
          </w:p>
        </w:tc>
        <w:tc>
          <w:tcPr/>
          <w:p>
            <w:pPr>
              <w:pStyle w:val="Compact"/>
              <w:jc w:val="left"/>
            </w:pPr>
            <w:r>
              <w:t xml:space="preserve">30</w:t>
            </w:r>
          </w:p>
        </w:tc>
        <w:tc>
          <w:tcPr/>
          <w:p>
            <w:pPr>
              <w:pStyle w:val="Compact"/>
              <w:jc w:val="left"/>
            </w:pPr>
            <w:r>
              <w:t xml:space="preserve">375.00</w:t>
            </w:r>
          </w:p>
        </w:tc>
        <w:tc>
          <w:tcPr/>
          <w:p>
            <w:pPr>
              <w:pStyle w:val="Compact"/>
              <w:jc w:val="left"/>
            </w:pPr>
            <w:r>
              <w:t xml:space="preserve">11,250.00</w:t>
            </w:r>
          </w:p>
        </w:tc>
        <w:tc>
          <w:tcPr/>
          <w:p>
            <w:pPr>
              <w:pStyle w:val="Compact"/>
              <w:jc w:val="left"/>
            </w:pPr>
            <w:r>
              <w:t xml:space="preserve">562.50</w:t>
            </w:r>
          </w:p>
        </w:tc>
      </w:tr>
    </w:tbl>
    <w:p>
      <w:pPr>
        <w:pStyle w:val="BodyText"/>
      </w:pPr>
      <w:r>
        <w:t xml:space="preserve">Subtotal (AED):</w:t>
      </w:r>
      <w:r>
        <w:t xml:space="preserve"> </w:t>
      </w:r>
      <w:r>
        <w:t xml:space="preserve">136,500.00</w:t>
      </w:r>
    </w:p>
    <w:p>
      <w:pPr>
        <w:pStyle w:val="BodyText"/>
      </w:pPr>
      <w:r>
        <w:t xml:space="preserve">Value Added Tax - 5% (AED):</w:t>
      </w:r>
      <w:r>
        <w:t xml:space="preserve"> </w:t>
      </w:r>
      <w:r>
        <w:t xml:space="preserve">6,825.00</w:t>
      </w:r>
    </w:p>
    <w:p>
      <w:pPr>
        <w:pStyle w:val="BodyText"/>
      </w:pPr>
      <w:r>
        <w:t xml:space="preserve">Discount (Early Payment - 2%):</w:t>
      </w:r>
      <w:r>
        <w:t xml:space="preserve"> </w:t>
      </w:r>
      <w:r>
        <w:t xml:space="preserve">-2,730.00</w:t>
      </w:r>
    </w:p>
    <w:p>
      <w:pPr>
        <w:pStyle w:val="BodyText"/>
      </w:pPr>
      <w:r>
        <w:t xml:space="preserve">TOTAL DUE (AED):</w:t>
      </w:r>
      <w:r>
        <w:t xml:space="preserve"> </w:t>
      </w:r>
      <w:r>
        <w:t xml:space="preserve">140,595.00</w:t>
      </w:r>
    </w:p>
    <w:p>
      <w:pPr>
        <w:pStyle w:val="BodyText"/>
      </w:pPr>
      <w:r>
        <w:t xml:space="preserve">Amount in words: One Hundred Forty Thousand Five Hundred Ninety-Five United Arab Emirates Dirhams and Zero Fils only.</w:t>
      </w:r>
    </w:p>
    <w:bookmarkStart w:id="25" w:name="terms-conditions-payment-instructions"/>
    <w:p>
      <w:pPr>
        <w:pStyle w:val="Heading3"/>
      </w:pPr>
      <w:r>
        <w:t xml:space="preserve">Terms, Conditions &amp; Payment Instructions:</w:t>
      </w:r>
    </w:p>
    <w:p>
      <w:pPr>
        <w:pStyle w:val="FirstParagraph"/>
      </w:pPr>
      <w:r>
        <w:t xml:space="preserve">1. Payment is due within 30 days from the date of this invoice as per standard commercial practices in the United Arab Emirates Dubai business environment.</w:t>
      </w:r>
    </w:p>
    <w:p>
      <w:pPr>
        <w:pStyle w:val="BodyText"/>
      </w:pPr>
      <w:r>
        <w:t xml:space="preserve">2. A 2% early payment discount is applicable if payment is received within 15 days of the invoice date.</w:t>
      </w:r>
    </w:p>
    <w:p>
      <w:pPr>
        <w:pStyle w:val="BodyText"/>
      </w:pPr>
      <w:r>
        <w:t xml:space="preserve">3. Late payments will incur interest at a rate of 1.5% per month on the outstanding balance, in accordance with UAE commercial law.</w:t>
      </w:r>
    </w:p>
    <w:p>
      <w:pPr>
        <w:pStyle w:val="BodyText"/>
      </w:pPr>
      <w:r>
        <w:t xml:space="preserve">4. All software engineering services provided are subject to our standard terms and conditions of engagement, including confidentiality and intellectual property transfer clauses upon full payment.</w:t>
      </w:r>
    </w:p>
    <w:p>
      <w:pPr>
        <w:pStyle w:val="BodyText"/>
      </w:pPr>
      <w:r>
        <w:t xml:space="preserve">5. This invoice is valid for tax purposes in the United Arab Emirates and includes all mandatory VAT information as required by the Federal Tax Authority (FTA).</w:t>
      </w:r>
    </w:p>
    <w:p>
      <w:pPr>
        <w:pStyle w:val="BodyText"/>
      </w:pPr>
      <w:r>
        <w:t xml:space="preserve">6. Please reference the invoice number INV-2024-0847 in all payment communications and bank transfers.</w:t>
      </w:r>
    </w:p>
    <w:p>
      <w:pPr>
        <w:pStyle w:val="BodyText"/>
      </w:pPr>
      <w:r>
        <w:t xml:space="preserve">7. For any queries regarding this invoice, please contact our accounts department at billing@technovatesolutions.ae or call +971 4 123 4567 during business hours (Sunday to Thursday, 9:00 AM to 6:00 PM GST).</w:t>
      </w:r>
    </w:p>
    <w:bookmarkStart w:id="24" w:name="bank-transfer-details"/>
    <w:p>
      <w:pPr>
        <w:pStyle w:val="Heading4"/>
      </w:pPr>
      <w:r>
        <w:t xml:space="preserve">Bank Transfer Details:</w:t>
      </w:r>
    </w:p>
    <w:p>
      <w:pPr>
        <w:pStyle w:val="FirstParagraph"/>
      </w:pPr>
      <w:r>
        <w:rPr>
          <w:bCs/>
          <w:b/>
        </w:rPr>
        <w:t xml:space="preserve">Bank Name:</w:t>
      </w:r>
      <w:r>
        <w:t xml:space="preserve"> </w:t>
      </w:r>
      <w:r>
        <w:t xml:space="preserve">Emirates NBD</w:t>
      </w:r>
    </w:p>
    <w:p>
      <w:pPr>
        <w:pStyle w:val="BodyText"/>
      </w:pPr>
      <w:r>
        <w:rPr>
          <w:bCs/>
          <w:b/>
        </w:rPr>
        <w:t xml:space="preserve">Branch:</w:t>
      </w:r>
      <w:r>
        <w:t xml:space="preserve"> </w:t>
      </w:r>
      <w:r>
        <w:t xml:space="preserve">Dubai Internet City Branch</w:t>
      </w:r>
    </w:p>
    <w:p>
      <w:pPr>
        <w:pStyle w:val="BodyText"/>
      </w:pPr>
      <w:r>
        <w:rPr>
          <w:bCs/>
          <w:b/>
        </w:rPr>
        <w:t xml:space="preserve">Account Name:</w:t>
      </w:r>
      <w:r>
        <w:t xml:space="preserve"> </w:t>
      </w:r>
      <w:r>
        <w:t xml:space="preserve">Technovate Solutions FZ-LLC</w:t>
      </w:r>
    </w:p>
    <w:p>
      <w:pPr>
        <w:pStyle w:val="BodyText"/>
      </w:pPr>
      <w:r>
        <w:rPr>
          <w:bCs/>
          <w:b/>
        </w:rPr>
        <w:t xml:space="preserve">Account Number:</w:t>
      </w:r>
      <w:r>
        <w:t xml:space="preserve"> </w:t>
      </w:r>
      <w:r>
        <w:t xml:space="preserve">1002 3456 7890 1234</w:t>
      </w:r>
    </w:p>
    <w:p>
      <w:pPr>
        <w:pStyle w:val="BodyText"/>
      </w:pPr>
      <w:r>
        <w:rPr>
          <w:bCs/>
          <w:b/>
        </w:rPr>
        <w:t xml:space="preserve">IBAN:</w:t>
      </w:r>
      <w:r>
        <w:t xml:space="preserve"> </w:t>
      </w:r>
      <w:r>
        <w:t xml:space="preserve">AE07 0331 2345 6789 0123 456</w:t>
      </w:r>
    </w:p>
    <w:p>
      <w:pPr>
        <w:pStyle w:val="BodyText"/>
      </w:pPr>
      <w:r>
        <w:rPr>
          <w:bCs/>
          <w:b/>
        </w:rPr>
        <w:t xml:space="preserve">SWIFT/BIC Code:</w:t>
      </w:r>
      <w:r>
        <w:t xml:space="preserve"> </w:t>
      </w:r>
      <w:r>
        <w:t xml:space="preserve">EBILAEAD</w:t>
      </w:r>
    </w:p>
    <w:p>
      <w:pPr>
        <w:pStyle w:val="BodyText"/>
      </w:pPr>
      <w:r>
        <w:rPr>
          <w:bCs/>
          <w:b/>
        </w:rPr>
        <w:t xml:space="preserve">Reference:</w:t>
      </w:r>
      <w:r>
        <w:t xml:space="preserve"> </w:t>
      </w:r>
      <w:r>
        <w:t xml:space="preserve">INV-2024-0847</w:t>
      </w:r>
    </w:p>
    <w:bookmarkEnd w:id="24"/>
    <w:bookmarkEnd w:id="25"/>
    <w:p>
      <w:pPr>
        <w:pStyle w:val="BodyText"/>
      </w:pPr>
      <w:r>
        <w:rPr>
          <w:bCs/>
          <w:b/>
        </w:rPr>
        <w:t xml:space="preserve">Authorized Signature</w:t>
      </w:r>
    </w:p>
    <w:p>
      <w:pPr>
        <w:pStyle w:val="BodyText"/>
      </w:pPr>
      <w:r>
        <w:t xml:space="preserve">Sarah Johnson</w:t>
      </w:r>
    </w:p>
    <w:p>
      <w:pPr>
        <w:pStyle w:val="BodyText"/>
      </w:pPr>
      <w:r>
        <w:t xml:space="preserve">Managing Director</w:t>
      </w:r>
    </w:p>
    <w:p>
      <w:pPr>
        <w:pStyle w:val="BodyText"/>
      </w:pPr>
      <w:r>
        <w:t xml:space="preserve">Technovate Solutions FZ-LLC</w:t>
      </w:r>
    </w:p>
    <w:p>
      <w:pPr>
        <w:pStyle w:val="BodyText"/>
      </w:pPr>
      <w:r>
        <w:t xml:space="preserve">Dubai, United Arab Emirates</w:t>
      </w:r>
    </w:p>
    <w:p>
      <w:pPr>
        <w:pStyle w:val="BodyText"/>
      </w:pPr>
      <w:r>
        <w:rPr>
          <w:bCs/>
          <w:b/>
        </w:rPr>
        <w:t xml:space="preserve">Received By (Client)</w:t>
      </w:r>
    </w:p>
    <w:p>
      <w:pPr>
        <w:pStyle w:val="BodyText"/>
      </w:pPr>
      <w:r>
        <w:t xml:space="preserve">_________________________</w:t>
      </w:r>
    </w:p>
    <w:p>
      <w:pPr>
        <w:pStyle w:val="BodyText"/>
      </w:pPr>
      <w:r>
        <w:t xml:space="preserve">Name &amp; Signature</w:t>
      </w:r>
    </w:p>
    <w:p>
      <w:pPr>
        <w:pStyle w:val="BodyText"/>
      </w:pPr>
      <w:r>
        <w:t xml:space="preserve">Date</w:t>
      </w:r>
    </w:p>
    <w:p>
      <w:pPr>
        <w:pStyle w:val="BodyText"/>
      </w:pPr>
      <w:r>
        <w:t xml:space="preserve">Thank you for your business. Technovate Solutions FZ-LLC is committed to delivering excellence in software engineering services across the United Arab Emirates Dubai region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Dubai, UAE</dc:title>
  <dc:creator/>
  <dc:language>en</dc:language>
  <cp:keywords/>
  <dcterms:created xsi:type="dcterms:W3CDTF">2026-10-10T06:57:00Z</dcterms:created>
  <dcterms:modified xsi:type="dcterms:W3CDTF">2026-10-10T06:57:00Z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