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Invoice No.: INV-2025-SE-0487</w:t>
      </w:r>
    </w:p>
    <w:p>
      <w:pPr>
        <w:pStyle w:val="BodyText"/>
      </w:pPr>
      <w:r>
        <w:t xml:space="preserve">Date Issued: June 15, 2025</w:t>
      </w:r>
    </w:p>
    <w:p>
      <w:pPr>
        <w:pStyle w:val="BodyText"/>
      </w:pPr>
      <w:r>
        <w:t xml:space="preserve">Due Date: July 15, 2025</w:t>
      </w:r>
    </w:p>
    <w:p>
      <w:pPr>
        <w:pStyle w:val="BodyText"/>
      </w:pPr>
      <w:r>
        <w:t xml:space="preserve">Special Education Services – Philippines Manila</w:t>
      </w:r>
    </w:p>
    <w:bookmarkEnd w:id="20"/>
    <w:bookmarkStart w:id="21" w:name="manila-special-education-services-inc."/>
    <w:p>
      <w:pPr>
        <w:pStyle w:val="Heading3"/>
      </w:pPr>
      <w:r>
        <w:t xml:space="preserve">Manila Special Education Services, Inc.</w:t>
      </w:r>
    </w:p>
    <w:p>
      <w:pPr>
        <w:pStyle w:val="FirstParagraph"/>
      </w:pPr>
      <w:r>
        <w:t xml:space="preserve">Unit 1204, 12th Floor, Ayala Avenue</w:t>
      </w:r>
    </w:p>
    <w:p>
      <w:pPr>
        <w:pStyle w:val="BodyText"/>
      </w:pPr>
      <w:r>
        <w:t xml:space="preserve">Makati City, Metro Manila</w:t>
      </w:r>
    </w:p>
    <w:p>
      <w:pPr>
        <w:pStyle w:val="BodyText"/>
      </w:pPr>
      <w:r>
        <w:t xml:space="preserve">Philippines 1226</w:t>
      </w:r>
    </w:p>
    <w:p>
      <w:pPr>
        <w:pStyle w:val="BodyText"/>
      </w:pPr>
      <w:r>
        <w:t xml:space="preserve">Tel: +63 (2) 8887-4521</w:t>
      </w:r>
    </w:p>
    <w:p>
      <w:pPr>
        <w:pStyle w:val="BodyText"/>
      </w:pPr>
      <w:r>
        <w:t xml:space="preserve">Email: billing@manilasedu.ph</w:t>
      </w:r>
    </w:p>
    <w:p>
      <w:pPr>
        <w:pStyle w:val="BodyText"/>
      </w:pPr>
      <w:r>
        <w:t xml:space="preserve">TIN: 000-123-456-000</w:t>
      </w:r>
    </w:p>
    <w:bookmarkEnd w:id="21"/>
    <w:bookmarkStart w:id="22" w:name="bill-to"/>
    <w:p>
      <w:pPr>
        <w:pStyle w:val="Heading4"/>
      </w:pPr>
      <w:r>
        <w:t xml:space="preserve">Bill To</w:t>
      </w:r>
    </w:p>
    <w:p>
      <w:pPr>
        <w:pStyle w:val="FirstParagraph"/>
      </w:pPr>
      <w:r>
        <w:rPr>
          <w:bCs/>
          <w:b/>
        </w:rPr>
        <w:t xml:space="preserve">St. Anne's Integrated Learning Center</w:t>
      </w:r>
    </w:p>
    <w:p>
      <w:pPr>
        <w:pStyle w:val="BodyText"/>
      </w:pPr>
      <w:r>
        <w:t xml:space="preserve">Attn: Dr. Maria Clara Reyes, Director</w:t>
      </w:r>
    </w:p>
    <w:p>
      <w:pPr>
        <w:pStyle w:val="BodyText"/>
      </w:pPr>
      <w:r>
        <w:t xml:space="preserve">1455 Quezon Avenue, Diliman</w:t>
      </w:r>
    </w:p>
    <w:p>
      <w:pPr>
        <w:pStyle w:val="BodyText"/>
      </w:pPr>
      <w:r>
        <w:t xml:space="preserve">Quezon City, Metro Manila</w:t>
      </w:r>
    </w:p>
    <w:p>
      <w:pPr>
        <w:pStyle w:val="BodyText"/>
      </w:pPr>
      <w:r>
        <w:t xml:space="preserve">Philippines 1101</w:t>
      </w:r>
    </w:p>
    <w:p>
      <w:pPr>
        <w:pStyle w:val="BodyText"/>
      </w:pPr>
      <w:r>
        <w:t xml:space="preserve">TIN: 234-567-890-000</w:t>
      </w:r>
    </w:p>
    <w:bookmarkEnd w:id="22"/>
    <w:bookmarkStart w:id="23" w:name="service-provider"/>
    <w:p>
      <w:pPr>
        <w:pStyle w:val="Heading4"/>
      </w:pPr>
      <w:r>
        <w:t xml:space="preserve">Service Provider</w:t>
      </w:r>
    </w:p>
    <w:p>
      <w:pPr>
        <w:pStyle w:val="FirstParagraph"/>
      </w:pPr>
      <w:r>
        <w:rPr>
          <w:bCs/>
          <w:b/>
        </w:rPr>
        <w:t xml:space="preserve">Prof. Juan Dela Cruz, M.Ed. SPED</w:t>
      </w:r>
    </w:p>
    <w:p>
      <w:pPr>
        <w:pStyle w:val="BodyText"/>
      </w:pPr>
      <w:r>
        <w:t xml:space="preserve">Licensed Special Education Teacher</w:t>
      </w:r>
    </w:p>
    <w:p>
      <w:pPr>
        <w:pStyle w:val="BodyText"/>
      </w:pPr>
      <w:r>
        <w:t xml:space="preserve">PRC License No. 0123456</w:t>
      </w:r>
    </w:p>
    <w:p>
      <w:pPr>
        <w:pStyle w:val="BodyText"/>
      </w:pPr>
      <w:r>
        <w:t xml:space="preserve">DECS/DepEd Registered Educator</w:t>
      </w:r>
    </w:p>
    <w:p>
      <w:pPr>
        <w:pStyle w:val="BodyText"/>
      </w:pPr>
      <w:r>
        <w:t xml:space="preserve">Manila, Philippines</w:t>
      </w:r>
    </w:p>
    <w:p>
      <w:pPr>
        <w:pStyle w:val="BodyText"/>
      </w:pPr>
      <w:r>
        <w:t xml:space="preserve">Mobile: +63 917 123 4567</w:t>
      </w:r>
    </w:p>
    <w:bookmarkEnd w:id="23"/>
    <w:bookmarkStart w:id="24" w:name="X85ae9020214ec9deea7f3e37cd7750bb45ceb22"/>
    <w:p>
      <w:pPr>
        <w:pStyle w:val="Heading3"/>
      </w:pPr>
      <w:r>
        <w:t xml:space="preserve">Description of Special Education Teacher Services Rendered in Philippines Manila</w:t>
      </w:r>
    </w:p>
    <w:p>
      <w:pPr>
        <w:pStyle w:val="FirstParagraph"/>
      </w:pPr>
      <w:r>
        <w:t xml:space="preserve">This Invoice is issued by Manila Special Education Services, Inc. for the professional services rendered by a certified Special Education Teacher to St. Anne's Integrated Learning Center, located in Quezon City, Metro Manila, Philippines. The Special Education Teacher provided comprehensive instructional support, individualized education program (IEP) development, behavioral intervention planning, and parent consultation services throughout the billing period of May 1, 2025 to May 31, 2025.</w:t>
      </w:r>
    </w:p>
    <w:p>
      <w:pPr>
        <w:pStyle w:val="BodyText"/>
      </w:pPr>
      <w:r>
        <w:t xml:space="preserve">The Special Education Teacher, holding a Master's degree in Special Education and a valid Professional Regulation Commission (PRC) license, delivered direct classroom instruction to students with diverse learning needs including but not limited to intellectual disabilities, autism spectrum disorder, specific learning disabilities, and sensory impairments. All services were conducted in accordance with the Philippine Education Code (Republic Act No. 10533) and the guidelines set forth by the Department of Education (DepEd) for inclusive education programs in the Philippines Manila region.</w:t>
      </w:r>
    </w:p>
    <w:p>
      <w:pPr>
        <w:pStyle w:val="BodyText"/>
      </w:pPr>
      <w:r>
        <w:t xml:space="preserve">The scope of services included the development and implementation of Individualized Education Programs (IEPs) for twelve (12) enrolled students, weekly progress assessments, adaptive curriculum modifications, assistive technology integration, and quarterly parent-teacher conferences. The Special Education Teacher also coordinated with the school's multidisciplinary team comprising occupational therapists, speech-language pathologists, and school psychologists to ensure holistic developmental support for each student within the Philippines Manila educational framework.</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SE-001</w:t>
            </w:r>
          </w:p>
        </w:tc>
        <w:tc>
          <w:tcPr/>
          <w:p>
            <w:pPr>
              <w:pStyle w:val="Compact"/>
              <w:jc w:val="left"/>
            </w:pPr>
            <w:r>
              <w:t xml:space="preserve">Direct Special Education Classroom Instruction (K-6 Level)</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SE-002</w:t>
            </w:r>
          </w:p>
        </w:tc>
        <w:tc>
          <w:tcPr/>
          <w:p>
            <w:pPr>
              <w:pStyle w:val="Compact"/>
              <w:jc w:val="left"/>
            </w:pPr>
            <w:r>
              <w:t xml:space="preserve">IEP Development, Review, and Implementation (12 Students)</w:t>
            </w:r>
          </w:p>
        </w:tc>
        <w:tc>
          <w:tcPr/>
          <w:p>
            <w:pPr>
              <w:pStyle w:val="Compact"/>
              <w:jc w:val="left"/>
            </w:pPr>
            <w:r>
              <w:t xml:space="preserve">12 programs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SE-003</w:t>
            </w:r>
          </w:p>
        </w:tc>
        <w:tc>
          <w:tcPr/>
          <w:p>
            <w:pPr>
              <w:pStyle w:val="Compact"/>
              <w:jc w:val="left"/>
            </w:pPr>
            <w:r>
              <w:t xml:space="preserve">Behavioral Intervention Planning and Monitoring</w:t>
            </w:r>
          </w:p>
        </w:tc>
        <w:tc>
          <w:tcPr/>
          <w:p>
            <w:pPr>
              <w:pStyle w:val="Compact"/>
              <w:jc w:val="left"/>
            </w:pPr>
            <w:r>
              <w:t xml:space="preserve">48 sessions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SE-004</w:t>
            </w:r>
          </w:p>
        </w:tc>
        <w:tc>
          <w:tcPr/>
          <w:p>
            <w:pPr>
              <w:pStyle w:val="Compact"/>
              <w:jc w:val="left"/>
            </w:pPr>
            <w:r>
              <w:t xml:space="preserve">Parent Consultation and Family Support Workshops</w:t>
            </w:r>
          </w:p>
        </w:tc>
        <w:tc>
          <w:tcPr/>
          <w:p>
            <w:pPr>
              <w:pStyle w:val="Compact"/>
              <w:jc w:val="left"/>
            </w:pPr>
            <w:r>
              <w:t xml:space="preserve">8 sessions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SE-005</w:t>
            </w:r>
          </w:p>
        </w:tc>
        <w:tc>
          <w:tcPr/>
          <w:p>
            <w:pPr>
              <w:pStyle w:val="Compact"/>
              <w:jc w:val="left"/>
            </w:pPr>
            <w:r>
              <w:t xml:space="preserve">Assistive Technology Assessment and Training</w:t>
            </w:r>
          </w:p>
        </w:tc>
        <w:tc>
          <w:tcPr/>
          <w:p>
            <w:pPr>
              <w:pStyle w:val="Compact"/>
              <w:jc w:val="left"/>
            </w:pPr>
            <w:r>
              <w:t xml:space="preserve">6 students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SE-006</w:t>
            </w:r>
          </w:p>
        </w:tc>
        <w:tc>
          <w:tcPr/>
          <w:p>
            <w:pPr>
              <w:pStyle w:val="Compact"/>
              <w:jc w:val="left"/>
            </w:pPr>
            <w:r>
              <w:t xml:space="preserve">Progress Assessment and Reporting (Monthly)</w:t>
            </w:r>
          </w:p>
        </w:tc>
        <w:tc>
          <w:tcPr/>
          <w:p>
            <w:pPr>
              <w:pStyle w:val="Compact"/>
              <w:jc w:val="left"/>
            </w:pPr>
            <w:r>
              <w:t xml:space="preserve">12 reports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SE-007</w:t>
            </w:r>
          </w:p>
        </w:tc>
        <w:tc>
          <w:tcPr/>
          <w:p>
            <w:pPr>
              <w:pStyle w:val="Compact"/>
              <w:jc w:val="left"/>
            </w:pPr>
            <w:r>
              <w:t xml:space="preserve">Coordination with Multidisciplinary Team (OT, SLP, Psych)</w:t>
            </w:r>
          </w:p>
        </w:tc>
        <w:tc>
          <w:tcPr/>
          <w:p>
            <w:pPr>
              <w:pStyle w:val="Compact"/>
              <w:jc w:val="left"/>
            </w:pPr>
            <w:r>
              <w:t xml:space="preserve">16 meetings</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SE-008</w:t>
            </w:r>
          </w:p>
        </w:tc>
        <w:tc>
          <w:tcPr/>
          <w:p>
            <w:pPr>
              <w:pStyle w:val="Compact"/>
              <w:jc w:val="left"/>
            </w:pPr>
            <w:r>
              <w:t xml:space="preserve">Curriculum Adaptation and Learning Materials Development</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₱294,600.00</w:t>
            </w:r>
          </w:p>
        </w:tc>
      </w:tr>
      <w:tr>
        <w:tc>
          <w:tcPr/>
          <w:p>
            <w:pPr>
              <w:pStyle w:val="Compact"/>
              <w:jc w:val="left"/>
            </w:pPr>
            <w:r>
              <w:t xml:space="preserve">VAT (12%)</w:t>
            </w:r>
          </w:p>
        </w:tc>
        <w:tc>
          <w:tcPr/>
          <w:p>
            <w:pPr>
              <w:pStyle w:val="Compact"/>
              <w:jc w:val="right"/>
            </w:pPr>
            <w:r>
              <w:t xml:space="preserve">₱35,352.00</w:t>
            </w:r>
          </w:p>
        </w:tc>
      </w:tr>
      <w:tr>
        <w:tc>
          <w:tcPr/>
          <w:p>
            <w:pPr>
              <w:pStyle w:val="Compact"/>
              <w:jc w:val="left"/>
            </w:pPr>
            <w:r>
              <w:t xml:space="preserve">Withholding Tax (10%)</w:t>
            </w:r>
          </w:p>
        </w:tc>
        <w:tc>
          <w:tcPr/>
          <w:p>
            <w:pPr>
              <w:pStyle w:val="Compact"/>
              <w:jc w:val="right"/>
            </w:pPr>
            <w:r>
              <w:t xml:space="preserve">(₱29,460.00)</w:t>
            </w:r>
          </w:p>
        </w:tc>
      </w:tr>
      <w:tr>
        <w:tc>
          <w:tcPr/>
          <w:p>
            <w:pPr>
              <w:pStyle w:val="Compact"/>
              <w:jc w:val="left"/>
            </w:pPr>
            <w:r>
              <w:t xml:space="preserve">NET AMOUNT DUE</w:t>
            </w:r>
          </w:p>
        </w:tc>
        <w:tc>
          <w:tcPr/>
          <w:p>
            <w:pPr>
              <w:pStyle w:val="Compact"/>
              <w:jc w:val="right"/>
            </w:pPr>
            <w:r>
              <w:t xml:space="preserve">₱300,492.00</w:t>
            </w:r>
          </w:p>
        </w:tc>
      </w:tr>
    </w:tbl>
    <w:bookmarkStart w:id="25" w:name="payment-terms-and-conditions"/>
    <w:p>
      <w:pPr>
        <w:pStyle w:val="Heading4"/>
      </w:pPr>
      <w:r>
        <w:t xml:space="preserve">Payment Terms and Conditions</w:t>
      </w:r>
    </w:p>
    <w:p>
      <w:pPr>
        <w:pStyle w:val="FirstParagraph"/>
      </w:pPr>
      <w:r>
        <w:rPr>
          <w:bCs/>
          <w:b/>
        </w:rPr>
        <w:t xml:space="preserve">Payment Due:</w:t>
      </w:r>
      <w:r>
        <w:t xml:space="preserve"> </w:t>
      </w:r>
      <w:r>
        <w:t xml:space="preserve">Within thirty (30) days from the date of this Invoice, i.e., on or before July 15, 2025.</w:t>
      </w:r>
    </w:p>
    <w:p>
      <w:pPr>
        <w:pStyle w:val="BodyText"/>
      </w:pPr>
      <w:r>
        <w:rPr>
          <w:bCs/>
          <w:b/>
        </w:rPr>
        <w:t xml:space="preserve">Payment Method:</w:t>
      </w:r>
      <w:r>
        <w:t xml:space="preserve"> </w:t>
      </w:r>
      <w:r>
        <w:t xml:space="preserve">Bank transfer to BDO Unibank, Inc., Account No. 1234-5678-9012, Account Name: Manila Special Education Services, Inc., Branch: Ayala Avenue, Makati City, Philippines Manila.</w:t>
      </w:r>
    </w:p>
    <w:p>
      <w:pPr>
        <w:pStyle w:val="BodyText"/>
      </w:pPr>
      <w:r>
        <w:rPr>
          <w:bCs/>
          <w:b/>
        </w:rPr>
        <w:t xml:space="preserve">Late Payment:</w:t>
      </w:r>
      <w:r>
        <w:t xml:space="preserve"> </w:t>
      </w:r>
      <w:r>
        <w:t xml:space="preserve">A penalty of 1.5% per month shall be applied to any amount not settled by the due date, in compliance with the Philippine Civil Code provisions on late payments.</w:t>
      </w:r>
    </w:p>
    <w:p>
      <w:pPr>
        <w:pStyle w:val="BodyText"/>
      </w:pPr>
      <w:r>
        <w:rPr>
          <w:bCs/>
          <w:b/>
        </w:rPr>
        <w:t xml:space="preserve">Disputes:</w:t>
      </w:r>
      <w:r>
        <w:t xml:space="preserve"> </w:t>
      </w:r>
      <w:r>
        <w:t xml:space="preserve">Any discrepancies regarding this Invoice must be raised in writing within fifteen (15) days of receipt. Failure to do so shall constitute acceptance of the charges listed herein.</w:t>
      </w:r>
    </w:p>
    <w:bookmarkEnd w:id="25"/>
    <w:bookmarkStart w:id="26" w:name="additional-notes"/>
    <w:p>
      <w:pPr>
        <w:pStyle w:val="Heading4"/>
      </w:pPr>
      <w:r>
        <w:t xml:space="preserve">Additional Notes</w:t>
      </w:r>
    </w:p>
    <w:p>
      <w:pPr>
        <w:pStyle w:val="FirstParagraph"/>
      </w:pPr>
      <w:r>
        <w:t xml:space="preserve">This Invoice covers professional services exclusively rendered by a licensed Special Education Teacher operating within the Philippines Manila jurisdiction. All services comply with the standards set by the Professional Regulation Commission (PRC) and the Department of Education (DepEd) for special education practitioners in the Philippines.</w:t>
      </w:r>
    </w:p>
    <w:p>
      <w:pPr>
        <w:pStyle w:val="BodyText"/>
      </w:pPr>
      <w:r>
        <w:t xml:space="preserve">The Special Education Teacher confirms that all instructional materials, IEP documents, and assessment records generated during the billing period have been duly submitted to the school's records office. A copy of the monthly progress report is attached as Annex A to this Invoice.</w:t>
      </w:r>
    </w:p>
    <w:p>
      <w:pPr>
        <w:pStyle w:val="BodyText"/>
      </w:pPr>
      <w:r>
        <w:t xml:space="preserve">Please retain this Invoice for your official records and tax reporting purposes. For inquiries regarding this Invoice or future Special Education Teacher service engagements in the Philippines Manila area, please contact our billing department at billing@manilasedu.ph or +63 (2) 8887-4521.</w:t>
      </w:r>
    </w:p>
    <w:bookmarkEnd w:id="26"/>
    <w:p>
      <w:pPr>
        <w:pStyle w:val="BodyText"/>
      </w:pPr>
      <w:r>
        <w:rPr>
          <w:bCs/>
          <w:b/>
        </w:rPr>
        <w:t xml:space="preserve">Prepared by:</w:t>
      </w:r>
      <w:r>
        <w:br/>
      </w:r>
      <w:r>
        <w:t xml:space="preserve">Prof. Juan Dela Cruz, M.Ed. SPED</w:t>
      </w:r>
      <w:r>
        <w:br/>
      </w:r>
      <w:r>
        <w:t xml:space="preserve">Special Education Teacher</w:t>
      </w:r>
      <w:r>
        <w:br/>
      </w:r>
      <w:r>
        <w:t xml:space="preserve">PRC License No. 0123456</w:t>
      </w:r>
    </w:p>
    <w:p>
      <w:pPr>
        <w:pStyle w:val="BodyText"/>
      </w:pPr>
      <w:r>
        <w:rPr>
          <w:bCs/>
          <w:b/>
        </w:rPr>
        <w:t xml:space="preserve">Authorized by:</w:t>
      </w:r>
      <w:r>
        <w:br/>
      </w:r>
      <w:r>
        <w:t xml:space="preserve">Ms. Ana Santos</w:t>
      </w:r>
      <w:r>
        <w:br/>
      </w:r>
      <w:r>
        <w:t xml:space="preserve">Finance Manager</w:t>
      </w:r>
      <w:r>
        <w:br/>
      </w:r>
      <w:r>
        <w:t xml:space="preserve">Manila Special Education Services, Inc.</w:t>
      </w:r>
    </w:p>
    <w:p>
      <w:pPr>
        <w:pStyle w:val="BodyText"/>
      </w:pPr>
      <w:r>
        <w:t xml:space="preserve">Manila Special Education Services, Inc. | Unit 1204, 12th Floor, Ayala Avenue, Makati City, Philippines Manila 1226</w:t>
      </w:r>
    </w:p>
    <w:p>
      <w:pPr>
        <w:pStyle w:val="BodyText"/>
      </w:pPr>
      <w:r>
        <w:t xml:space="preserve">Registered with the Securities and Exchange Commission (SEC) | BIR-Registered | DepEd-Accredited Service Provider</w:t>
      </w:r>
    </w:p>
    <w:p>
      <w:pPr>
        <w:pStyle w:val="BodyText"/>
      </w:pPr>
      <w:r>
        <w:t xml:space="preserve">This Invoice is valid for thirty (30) days from the date of issue. Thank you for choosing our Special Education Teacher services in the Philippines Manila region.</w:t>
      </w:r>
    </w:p>
    <w:p>
      <w:pPr>
        <w:pStyle w:val="BodyText"/>
      </w:pPr>
      <w:r>
        <w:t xml:space="preserve">Invoice INV-2025-SE-0487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Philippines Manila</dc:title>
  <dc:creator/>
  <dc:language>en</dc:language>
  <cp:keywords/>
  <dcterms:created xsi:type="dcterms:W3CDTF">2026-10-10T01:57:38Z</dcterms:created>
  <dcterms:modified xsi:type="dcterms:W3CDTF">2026-10-10T01:57:38Z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