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miami-special-education-consulting-group"/>
    <w:p>
      <w:pPr>
        <w:pStyle w:val="Heading1"/>
      </w:pPr>
      <w:r>
        <w:t xml:space="preserve">Miami Special Education Consulting Group</w:t>
      </w:r>
    </w:p>
    <w:p>
      <w:pPr>
        <w:pStyle w:val="FirstParagraph"/>
      </w:pPr>
      <w:r>
        <w:t xml:space="preserve">1200 Biscayne Boulevard, Suite 450</w:t>
      </w:r>
    </w:p>
    <w:p>
      <w:pPr>
        <w:pStyle w:val="BodyText"/>
      </w:pPr>
      <w:r>
        <w:t xml:space="preserve">Miami, Florida 33132, United States</w:t>
      </w:r>
    </w:p>
    <w:p>
      <w:pPr>
        <w:pStyle w:val="BodyText"/>
      </w:pPr>
      <w:r>
        <w:t xml:space="preserve">Phone: (305) 555-0187</w:t>
      </w:r>
    </w:p>
    <w:p>
      <w:pPr>
        <w:pStyle w:val="BodyText"/>
      </w:pPr>
      <w:r>
        <w:t xml:space="preserve">Email: billing@miespecedconsulting.com</w:t>
      </w:r>
    </w:p>
    <w:p>
      <w:pPr>
        <w:pStyle w:val="BodyText"/>
      </w:pPr>
      <w:r>
        <w:t xml:space="preserve">Florida Business License: FL-2024-8873421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MIE-SE-2025-0047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bookmarkEnd w:id="21"/>
    <w:bookmarkStart w:id="22" w:name="bill-to"/>
    <w:p>
      <w:pPr>
        <w:pStyle w:val="Heading3"/>
      </w:pPr>
      <w:r>
        <w:t xml:space="preserve">Bill To</w:t>
      </w:r>
    </w:p>
    <w:p>
      <w:pPr>
        <w:pStyle w:val="FirstParagraph"/>
      </w:pPr>
      <w:r>
        <w:rPr>
          <w:bCs/>
          <w:b/>
        </w:rPr>
        <w:t xml:space="preserve">Miami-Dade County Public Schools</w:t>
      </w:r>
    </w:p>
    <w:p>
      <w:pPr>
        <w:pStyle w:val="BodyText"/>
      </w:pPr>
      <w:r>
        <w:t xml:space="preserve">Office of Special Education Services</w:t>
      </w:r>
    </w:p>
    <w:p>
      <w:pPr>
        <w:pStyle w:val="BodyText"/>
      </w:pPr>
      <w:r>
        <w:t xml:space="preserve">3000 Southwest 8th Street</w:t>
      </w:r>
    </w:p>
    <w:p>
      <w:pPr>
        <w:pStyle w:val="BodyText"/>
      </w:pPr>
      <w:r>
        <w:t xml:space="preserve">Miami, Florida 33125, United States</w:t>
      </w:r>
    </w:p>
    <w:p>
      <w:pPr>
        <w:pStyle w:val="BodyText"/>
      </w:pPr>
      <w:r>
        <w:t xml:space="preserve">Attn: Dr. Patricia Hernandez, Director of Special Programs</w:t>
      </w:r>
    </w:p>
    <w:p>
      <w:pPr>
        <w:pStyle w:val="BodyText"/>
      </w:pPr>
      <w:r>
        <w:t xml:space="preserve">Purchase Order: MDCPS-PO-2025-11982</w:t>
      </w:r>
    </w:p>
    <w:bookmarkEnd w:id="22"/>
    <w:bookmarkStart w:id="23" w:name="invoice-details"/>
    <w:p>
      <w:pPr>
        <w:pStyle w:val="Heading3"/>
      </w:pPr>
      <w:r>
        <w:t xml:space="preserve">Invoice Details</w:t>
      </w:r>
    </w:p>
    <w:p>
      <w:pPr>
        <w:pStyle w:val="FirstParagraph"/>
      </w:pPr>
      <w:r>
        <w:rPr>
          <w:bCs/>
          <w:b/>
        </w:rPr>
        <w:t xml:space="preserve">Provider:</w:t>
      </w:r>
      <w:r>
        <w:t xml:space="preserve"> </w:t>
      </w:r>
      <w:r>
        <w:t xml:space="preserve">Special Education Teacher, Licensed</w:t>
      </w:r>
    </w:p>
    <w:p>
      <w:pPr>
        <w:pStyle w:val="BodyText"/>
      </w:pPr>
      <w:r>
        <w:rPr>
          <w:bCs/>
          <w:b/>
        </w:rPr>
        <w:t xml:space="preserve">FL License No.:</w:t>
      </w:r>
      <w:r>
        <w:t xml:space="preserve"> </w:t>
      </w:r>
      <w:r>
        <w:t xml:space="preserve">SE-2019-44521</w:t>
      </w:r>
    </w:p>
    <w:p>
      <w:pPr>
        <w:pStyle w:val="BodyText"/>
      </w:pPr>
      <w:r>
        <w:rPr>
          <w:bCs/>
          <w:b/>
        </w:rPr>
        <w:t xml:space="preserve">Specialization:</w:t>
      </w:r>
      <w:r>
        <w:t xml:space="preserve"> </w:t>
      </w:r>
      <w:r>
        <w:t xml:space="preserve">Autism Spectrum, Learning Disabilities</w:t>
      </w:r>
    </w:p>
    <w:p>
      <w:pPr>
        <w:pStyle w:val="BodyText"/>
      </w:pPr>
      <w:r>
        <w:rPr>
          <w:bCs/>
          <w:b/>
        </w:rPr>
        <w:t xml:space="preserve">Assigned Campus:</w:t>
      </w:r>
      <w:r>
        <w:t xml:space="preserve"> </w:t>
      </w:r>
      <w:r>
        <w:t xml:space="preserve">Coral Gables Elementary School</w:t>
      </w:r>
    </w:p>
    <w:p>
      <w:pPr>
        <w:pStyle w:val="BodyText"/>
      </w:pPr>
      <w:r>
        <w:rPr>
          <w:bCs/>
          <w:b/>
        </w:rPr>
        <w:t xml:space="preserve">Contract Reference:</w:t>
      </w:r>
      <w:r>
        <w:t xml:space="preserve"> </w:t>
      </w:r>
      <w:r>
        <w:t xml:space="preserve">MDCPS-SE-2025-0034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rPr>
                <w:bCs/>
                <w:b/>
              </w:rPr>
              <w:t xml:space="preserve">Individualized Education Program (IEP) Development &amp; Implementation</w:t>
            </w:r>
            <w:r>
              <w:t xml:space="preserve"> </w:t>
            </w:r>
            <w:r>
              <w:t xml:space="preserve">Special Education Teacher provided comprehensive IEP planning sessions for 12 students with disabilities at Coral Gables Elementary School in Miami, United States. This included assessment analysis, goal setting, parent conferences, and progress monitoring documentation in compliance with IDEA 2004 and Florida Administrative Code 6A-14.</w:t>
            </w:r>
          </w:p>
        </w:tc>
        <w:tc>
          <w:tcPr/>
          <w:p>
            <w:pPr>
              <w:pStyle w:val="Compact"/>
              <w:jc w:val="left"/>
            </w:pPr>
            <w:r>
              <w:t xml:space="preserve">May 1–31, 2025</w:t>
            </w:r>
          </w:p>
        </w:tc>
        <w:tc>
          <w:tcPr/>
          <w:p>
            <w:pPr>
              <w:pStyle w:val="Compact"/>
              <w:jc w:val="left"/>
            </w:pPr>
            <w:r>
              <w:t xml:space="preserve">48.0</w:t>
            </w:r>
          </w:p>
        </w:tc>
        <w:tc>
          <w:tcPr/>
          <w:p>
            <w:pPr>
              <w:pStyle w:val="Compact"/>
              <w:jc w:val="left"/>
            </w:pPr>
            <w:r>
              <w:t xml:space="preserve">$62.50/hr</w:t>
            </w:r>
          </w:p>
        </w:tc>
        <w:tc>
          <w:tcPr/>
          <w:p>
            <w:pPr>
              <w:pStyle w:val="Compact"/>
              <w:jc w:val="left"/>
            </w:pPr>
            <w:r>
              <w:t xml:space="preserve">$3,000.00</w:t>
            </w:r>
          </w:p>
        </w:tc>
      </w:tr>
      <w:tr>
        <w:tc>
          <w:tcPr/>
          <w:p>
            <w:pPr>
              <w:pStyle w:val="Compact"/>
              <w:jc w:val="left"/>
            </w:pPr>
            <w:r>
              <w:t xml:space="preserve">2</w:t>
            </w:r>
          </w:p>
        </w:tc>
        <w:tc>
          <w:tcPr/>
          <w:p>
            <w:pPr>
              <w:pStyle w:val="Compact"/>
              <w:jc w:val="left"/>
            </w:pPr>
            <w:r>
              <w:rPr>
                <w:bCs/>
                <w:b/>
              </w:rPr>
              <w:t xml:space="preserve">Direct Instructional Services – Self-Contained Classroom</w:t>
            </w:r>
            <w:r>
              <w:t xml:space="preserve"> </w:t>
            </w:r>
            <w:r>
              <w:t xml:space="preserve">Special Education Teacher delivered daily structured instruction to a self-contained classroom of 8 students with moderate to severe cognitive disabilities. Services included adaptive curriculum delivery, behavioral intervention strategies, sensory integration activities, and individualized academic instruction aligned with Florida State Standards.</w:t>
            </w:r>
          </w:p>
        </w:tc>
        <w:tc>
          <w:tcPr/>
          <w:p>
            <w:pPr>
              <w:pStyle w:val="Compact"/>
              <w:jc w:val="left"/>
            </w:pPr>
            <w:r>
              <w:t xml:space="preserve">May 1–31, 2025</w:t>
            </w:r>
          </w:p>
        </w:tc>
        <w:tc>
          <w:tcPr/>
          <w:p>
            <w:pPr>
              <w:pStyle w:val="Compact"/>
              <w:jc w:val="left"/>
            </w:pPr>
            <w:r>
              <w:t xml:space="preserve">120.0</w:t>
            </w:r>
          </w:p>
        </w:tc>
        <w:tc>
          <w:tcPr/>
          <w:p>
            <w:pPr>
              <w:pStyle w:val="Compact"/>
              <w:jc w:val="left"/>
            </w:pPr>
            <w:r>
              <w:t xml:space="preserve">$58.75/hr</w:t>
            </w:r>
          </w:p>
        </w:tc>
        <w:tc>
          <w:tcPr/>
          <w:p>
            <w:pPr>
              <w:pStyle w:val="Compact"/>
              <w:jc w:val="left"/>
            </w:pPr>
            <w:r>
              <w:t xml:space="preserve">$7,050.00</w:t>
            </w:r>
          </w:p>
        </w:tc>
      </w:tr>
      <w:tr>
        <w:tc>
          <w:tcPr/>
          <w:p>
            <w:pPr>
              <w:pStyle w:val="Compact"/>
              <w:jc w:val="left"/>
            </w:pPr>
            <w:r>
              <w:t xml:space="preserve">3</w:t>
            </w:r>
          </w:p>
        </w:tc>
        <w:tc>
          <w:tcPr/>
          <w:p>
            <w:pPr>
              <w:pStyle w:val="Compact"/>
              <w:jc w:val="left"/>
            </w:pPr>
            <w:r>
              <w:rPr>
                <w:bCs/>
                <w:b/>
              </w:rPr>
              <w:t xml:space="preserve">Co-Teaching &amp; Inclusive Classroom Support</w:t>
            </w:r>
            <w:r>
              <w:t xml:space="preserve"> </w:t>
            </w:r>
            <w:r>
              <w:t xml:space="preserve">Special Education Teacher collaborated with general education staff in inclusive classroom settings at three Miami, United States campuses. Services included lesson adaptation, small-group pull-out instruction, universal design for learning (UDL) modifications, and real-time behavioral support for students with Individualized Education Programs.</w:t>
            </w:r>
          </w:p>
        </w:tc>
        <w:tc>
          <w:tcPr/>
          <w:p>
            <w:pPr>
              <w:pStyle w:val="Compact"/>
              <w:jc w:val="left"/>
            </w:pPr>
            <w:r>
              <w:t xml:space="preserve">May 1–31, 2025</w:t>
            </w:r>
          </w:p>
        </w:tc>
        <w:tc>
          <w:tcPr/>
          <w:p>
            <w:pPr>
              <w:pStyle w:val="Compact"/>
              <w:jc w:val="left"/>
            </w:pPr>
            <w:r>
              <w:t xml:space="preserve">64.0</w:t>
            </w:r>
          </w:p>
        </w:tc>
        <w:tc>
          <w:tcPr/>
          <w:p>
            <w:pPr>
              <w:pStyle w:val="Compact"/>
              <w:jc w:val="left"/>
            </w:pPr>
            <w:r>
              <w:t xml:space="preserve">$60.00/hr</w:t>
            </w:r>
          </w:p>
        </w:tc>
        <w:tc>
          <w:tcPr/>
          <w:p>
            <w:pPr>
              <w:pStyle w:val="Compact"/>
              <w:jc w:val="left"/>
            </w:pPr>
            <w:r>
              <w:t xml:space="preserve">$3,840.00</w:t>
            </w:r>
          </w:p>
        </w:tc>
      </w:tr>
      <w:tr>
        <w:tc>
          <w:tcPr/>
          <w:p>
            <w:pPr>
              <w:pStyle w:val="Compact"/>
              <w:jc w:val="left"/>
            </w:pPr>
            <w:r>
              <w:t xml:space="preserve">4</w:t>
            </w:r>
          </w:p>
        </w:tc>
        <w:tc>
          <w:tcPr/>
          <w:p>
            <w:pPr>
              <w:pStyle w:val="Compact"/>
              <w:jc w:val="left"/>
            </w:pPr>
            <w:r>
              <w:rPr>
                <w:bCs/>
                <w:b/>
              </w:rPr>
              <w:t xml:space="preserve">Behavioral Intervention Planning &amp; Functional Behavior Assessments (FBA)</w:t>
            </w:r>
            <w:r>
              <w:t xml:space="preserve"> </w:t>
            </w:r>
            <w:r>
              <w:t xml:space="preserve">Special Education Teacher conducted 6 Functional Behavior Assessments and developed 4 Behavior Intervention Plans (BIPs) for students exhibiting challenging behaviors. This included direct observation, data collection, stakeholder interviews, and implementation of evidence-based behavioral strategies in the Miami, United States school environment.</w:t>
            </w:r>
          </w:p>
        </w:tc>
        <w:tc>
          <w:tcPr/>
          <w:p>
            <w:pPr>
              <w:pStyle w:val="Compact"/>
              <w:jc w:val="left"/>
            </w:pPr>
            <w:r>
              <w:t xml:space="preserve">May 1–31, 2025</w:t>
            </w:r>
          </w:p>
        </w:tc>
        <w:tc>
          <w:tcPr/>
          <w:p>
            <w:pPr>
              <w:pStyle w:val="Compact"/>
              <w:jc w:val="left"/>
            </w:pPr>
            <w:r>
              <w:t xml:space="preserve">32.0</w:t>
            </w:r>
          </w:p>
        </w:tc>
        <w:tc>
          <w:tcPr/>
          <w:p>
            <w:pPr>
              <w:pStyle w:val="Compact"/>
              <w:jc w:val="left"/>
            </w:pPr>
            <w:r>
              <w:t xml:space="preserve">$68.00/hr</w:t>
            </w:r>
          </w:p>
        </w:tc>
        <w:tc>
          <w:tcPr/>
          <w:p>
            <w:pPr>
              <w:pStyle w:val="Compact"/>
              <w:jc w:val="left"/>
            </w:pPr>
            <w:r>
              <w:t xml:space="preserve">$2,176.00</w:t>
            </w:r>
          </w:p>
        </w:tc>
      </w:tr>
      <w:tr>
        <w:tc>
          <w:tcPr/>
          <w:p>
            <w:pPr>
              <w:pStyle w:val="Compact"/>
              <w:jc w:val="left"/>
            </w:pPr>
            <w:r>
              <w:t xml:space="preserve">5</w:t>
            </w:r>
          </w:p>
        </w:tc>
        <w:tc>
          <w:tcPr/>
          <w:p>
            <w:pPr>
              <w:pStyle w:val="Compact"/>
              <w:jc w:val="left"/>
            </w:pPr>
            <w:r>
              <w:rPr>
                <w:bCs/>
                <w:b/>
              </w:rPr>
              <w:t xml:space="preserve">Parent &amp; Guardian Consultation Services</w:t>
            </w:r>
            <w:r>
              <w:t xml:space="preserve"> </w:t>
            </w:r>
            <w:r>
              <w:t xml:space="preserve">Special Education Teacher held 14 individual parent conferences and 2 group workshops for families of students with special needs in the Miami, United States community. Topics covered included IEP rights under federal and Florida state law, home-based reinforcement strategies, transition planning for secondary students, and resource navigation for the Miami-Dade area.</w:t>
            </w:r>
          </w:p>
        </w:tc>
        <w:tc>
          <w:tcPr/>
          <w:p>
            <w:pPr>
              <w:pStyle w:val="Compact"/>
              <w:jc w:val="left"/>
            </w:pPr>
            <w:r>
              <w:t xml:space="preserve">May 1–31, 2025</w:t>
            </w:r>
          </w:p>
        </w:tc>
        <w:tc>
          <w:tcPr/>
          <w:p>
            <w:pPr>
              <w:pStyle w:val="Compact"/>
              <w:jc w:val="left"/>
            </w:pPr>
            <w:r>
              <w:t xml:space="preserve">16.0</w:t>
            </w:r>
          </w:p>
        </w:tc>
        <w:tc>
          <w:tcPr/>
          <w:p>
            <w:pPr>
              <w:pStyle w:val="Compact"/>
              <w:jc w:val="left"/>
            </w:pPr>
            <w:r>
              <w:t xml:space="preserve">$65.00/hr</w:t>
            </w:r>
          </w:p>
        </w:tc>
        <w:tc>
          <w:tcPr/>
          <w:p>
            <w:pPr>
              <w:pStyle w:val="Compact"/>
              <w:jc w:val="left"/>
            </w:pPr>
            <w:r>
              <w:t xml:space="preserve">$1,040.00</w:t>
            </w:r>
          </w:p>
        </w:tc>
      </w:tr>
      <w:tr>
        <w:tc>
          <w:tcPr/>
          <w:p>
            <w:pPr>
              <w:pStyle w:val="Compact"/>
              <w:jc w:val="left"/>
            </w:pPr>
            <w:r>
              <w:t xml:space="preserve">6</w:t>
            </w:r>
          </w:p>
        </w:tc>
        <w:tc>
          <w:tcPr/>
          <w:p>
            <w:pPr>
              <w:pStyle w:val="Compact"/>
              <w:jc w:val="left"/>
            </w:pPr>
            <w:r>
              <w:rPr>
                <w:bCs/>
                <w:b/>
              </w:rPr>
              <w:t xml:space="preserve">Assistive Technology Evaluation &amp; Training</w:t>
            </w:r>
            <w:r>
              <w:t xml:space="preserve"> </w:t>
            </w:r>
            <w:r>
              <w:t xml:space="preserve">Special Education Teacher performed assistive technology evaluations for 5 students and provided hands-on training to both students and paraprofessionals on the use of AAC devices, screen readers, and adaptive software. All evaluations were conducted in compliance with Florida's assistive technology guidelines for the Miami, United States district.</w:t>
            </w:r>
          </w:p>
        </w:tc>
        <w:tc>
          <w:tcPr/>
          <w:p>
            <w:pPr>
              <w:pStyle w:val="Compact"/>
              <w:jc w:val="left"/>
            </w:pPr>
            <w:r>
              <w:t xml:space="preserve">May 1–31, 2025</w:t>
            </w:r>
          </w:p>
        </w:tc>
        <w:tc>
          <w:tcPr/>
          <w:p>
            <w:pPr>
              <w:pStyle w:val="Compact"/>
              <w:jc w:val="left"/>
            </w:pPr>
            <w:r>
              <w:t xml:space="preserve">24.0</w:t>
            </w:r>
          </w:p>
        </w:tc>
        <w:tc>
          <w:tcPr/>
          <w:p>
            <w:pPr>
              <w:pStyle w:val="Compact"/>
              <w:jc w:val="left"/>
            </w:pPr>
            <w:r>
              <w:t xml:space="preserve">$72.00/hr</w:t>
            </w:r>
          </w:p>
        </w:tc>
        <w:tc>
          <w:tcPr/>
          <w:p>
            <w:pPr>
              <w:pStyle w:val="Compact"/>
              <w:jc w:val="left"/>
            </w:pPr>
            <w:r>
              <w:t xml:space="preserve">$1,728.00</w:t>
            </w:r>
          </w:p>
        </w:tc>
      </w:tr>
      <w:tr>
        <w:tc>
          <w:tcPr/>
          <w:p>
            <w:pPr>
              <w:pStyle w:val="Compact"/>
              <w:jc w:val="left"/>
            </w:pPr>
            <w:r>
              <w:t xml:space="preserve">7</w:t>
            </w:r>
          </w:p>
        </w:tc>
        <w:tc>
          <w:tcPr/>
          <w:p>
            <w:pPr>
              <w:pStyle w:val="Compact"/>
              <w:jc w:val="left"/>
            </w:pPr>
            <w:r>
              <w:rPr>
                <w:bCs/>
                <w:b/>
              </w:rPr>
              <w:t xml:space="preserve">Documentation, Progress Reporting &amp; Administrative Compliance</w:t>
            </w:r>
            <w:r>
              <w:t xml:space="preserve"> </w:t>
            </w:r>
            <w:r>
              <w:t xml:space="preserve">Special Education Teacher completed all required monthly progress reports, quarterly IEP progress summaries, attendance records, and state-mandated documentation for the Miami-Dade County Public Schools special education department. This included data entry into the district's student information system and preparation of annual review documentation.</w:t>
            </w:r>
          </w:p>
        </w:tc>
        <w:tc>
          <w:tcPr/>
          <w:p>
            <w:pPr>
              <w:pStyle w:val="Compact"/>
              <w:jc w:val="left"/>
            </w:pPr>
            <w:r>
              <w:t xml:space="preserve">May 1–31, 2025</w:t>
            </w:r>
          </w:p>
        </w:tc>
        <w:tc>
          <w:tcPr/>
          <w:p>
            <w:pPr>
              <w:pStyle w:val="Compact"/>
              <w:jc w:val="left"/>
            </w:pPr>
            <w:r>
              <w:t xml:space="preserve">20.0</w:t>
            </w:r>
          </w:p>
        </w:tc>
        <w:tc>
          <w:tcPr/>
          <w:p>
            <w:pPr>
              <w:pStyle w:val="Compact"/>
              <w:jc w:val="left"/>
            </w:pPr>
            <w:r>
              <w:t xml:space="preserve">$55.00/hr</w:t>
            </w:r>
          </w:p>
        </w:tc>
        <w:tc>
          <w:tcPr/>
          <w:p>
            <w:pPr>
              <w:pStyle w:val="Compact"/>
              <w:jc w:val="left"/>
            </w:pPr>
            <w:r>
              <w:t xml:space="preserve">$1,100.00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$19,934.00</w:t>
            </w:r>
          </w:p>
        </w:tc>
      </w:tr>
      <w:tr>
        <w:tc>
          <w:tcPr/>
          <w:p>
            <w:pPr>
              <w:pStyle w:val="Compact"/>
              <w:jc w:val="left"/>
            </w:pPr>
            <w:r>
              <w:t xml:space="preserve">Florida State Sales Tax (7.0%)</w:t>
            </w:r>
          </w:p>
        </w:tc>
        <w:tc>
          <w:tcPr/>
          <w:p>
            <w:pPr>
              <w:pStyle w:val="Compact"/>
              <w:jc w:val="left"/>
            </w:pPr>
            <w:r>
              <w:t xml:space="preserve">$1,395.38</w:t>
            </w:r>
          </w:p>
        </w:tc>
      </w:tr>
      <w:tr>
        <w:tc>
          <w:tcPr/>
          <w:p>
            <w:pPr>
              <w:pStyle w:val="Compact"/>
              <w:jc w:val="left"/>
            </w:pPr>
            <w:r>
              <w:t xml:space="preserve">Miami-Dade County Surcharge (0.5%)</w:t>
            </w:r>
          </w:p>
        </w:tc>
        <w:tc>
          <w:tcPr/>
          <w:p>
            <w:pPr>
              <w:pStyle w:val="Compact"/>
              <w:jc w:val="left"/>
            </w:pPr>
            <w:r>
              <w:t xml:space="preserve">$99.67</w:t>
            </w:r>
          </w:p>
        </w:tc>
      </w:tr>
      <w:tr>
        <w:tc>
          <w:tcPr/>
          <w:p>
            <w:pPr>
              <w:pStyle w:val="Compact"/>
              <w:jc w:val="left"/>
            </w:pPr>
            <w:r>
              <w:t xml:space="preserve">Travel &amp; Transportation Allowance</w:t>
            </w:r>
          </w:p>
        </w:tc>
        <w:tc>
          <w:tcPr/>
          <w:p>
            <w:pPr>
              <w:pStyle w:val="Compact"/>
              <w:jc w:val="left"/>
            </w:pPr>
            <w:r>
              <w:t xml:space="preserve">$185.00</w:t>
            </w:r>
          </w:p>
        </w:tc>
      </w:tr>
      <w:tr>
        <w:tc>
          <w:tcPr/>
          <w:p>
            <w:pPr>
              <w:pStyle w:val="Compact"/>
              <w:jc w:val="left"/>
            </w:pPr>
            <w:r>
              <w:t xml:space="preserve">Grand Total Due</w:t>
            </w:r>
          </w:p>
        </w:tc>
        <w:tc>
          <w:tcPr/>
          <w:p>
            <w:pPr>
              <w:pStyle w:val="Compact"/>
              <w:jc w:val="left"/>
            </w:pPr>
            <w:r>
              <w:t xml:space="preserve">$21,614.05</w:t>
            </w:r>
          </w:p>
        </w:tc>
      </w:tr>
    </w:tbl>
    <w:bookmarkStart w:id="24" w:name="payment-terms-instructions"/>
    <w:p>
      <w:pPr>
        <w:pStyle w:val="Heading3"/>
      </w:pPr>
      <w:r>
        <w:t xml:space="preserve">Payment Terms &amp; Instructions</w:t>
      </w:r>
    </w:p>
    <w:p>
      <w:pPr>
        <w:pStyle w:val="FirstParagraph"/>
      </w:pPr>
      <w:r>
        <w:t xml:space="preserve">This Invoice is payable within thirty (30) days of the date of issuance, no later than July 15, 2025. Payment may be made via electronic funds transfer (EFT), check, or ACH transfer to the account listed below. Please reference Invoice Number MIE-SE-2025-0047 on all remittances.</w:t>
      </w:r>
    </w:p>
    <w:p>
      <w:pPr>
        <w:numPr>
          <w:ilvl w:val="0"/>
          <w:numId w:val="1001"/>
        </w:numPr>
        <w:pStyle w:val="Compact"/>
      </w:pPr>
      <w:r>
        <w:rPr>
          <w:bCs/>
          <w:b/>
        </w:rPr>
        <w:t xml:space="preserve">Bank:</w:t>
      </w:r>
      <w:r>
        <w:t xml:space="preserve"> </w:t>
      </w:r>
      <w:r>
        <w:t xml:space="preserve">Bank of America, Miami, United States</w:t>
      </w:r>
    </w:p>
    <w:p>
      <w:pPr>
        <w:numPr>
          <w:ilvl w:val="0"/>
          <w:numId w:val="1001"/>
        </w:numPr>
        <w:pStyle w:val="Compact"/>
      </w:pPr>
      <w:r>
        <w:rPr>
          <w:bCs/>
          <w:b/>
        </w:rPr>
        <w:t xml:space="preserve">Account Name:</w:t>
      </w:r>
      <w:r>
        <w:t xml:space="preserve"> </w:t>
      </w:r>
      <w:r>
        <w:t xml:space="preserve">Miami Special Education Consulting Group</w:t>
      </w:r>
    </w:p>
    <w:p>
      <w:pPr>
        <w:numPr>
          <w:ilvl w:val="0"/>
          <w:numId w:val="1001"/>
        </w:numPr>
        <w:pStyle w:val="Compact"/>
      </w:pPr>
      <w:r>
        <w:rPr>
          <w:bCs/>
          <w:b/>
        </w:rPr>
        <w:t xml:space="preserve">Routing Number:</w:t>
      </w:r>
      <w:r>
        <w:t xml:space="preserve"> </w:t>
      </w:r>
      <w:r>
        <w:t xml:space="preserve">021000021</w:t>
      </w:r>
    </w:p>
    <w:p>
      <w:pPr>
        <w:numPr>
          <w:ilvl w:val="0"/>
          <w:numId w:val="1001"/>
        </w:numPr>
        <w:pStyle w:val="Compact"/>
      </w:pPr>
      <w:r>
        <w:rPr>
          <w:bCs/>
          <w:b/>
        </w:rPr>
        <w:t xml:space="preserve">Account Number:</w:t>
      </w:r>
      <w:r>
        <w:t xml:space="preserve"> </w:t>
      </w:r>
      <w:r>
        <w:t xml:space="preserve">4471-8829-0034</w:t>
      </w:r>
    </w:p>
    <w:p>
      <w:pPr>
        <w:numPr>
          <w:ilvl w:val="0"/>
          <w:numId w:val="1001"/>
        </w:numPr>
        <w:pStyle w:val="Compact"/>
      </w:pPr>
      <w:r>
        <w:rPr>
          <w:bCs/>
          <w:b/>
        </w:rPr>
        <w:t xml:space="preserve">Check Payable To:</w:t>
      </w:r>
      <w:r>
        <w:t xml:space="preserve"> </w:t>
      </w:r>
      <w:r>
        <w:t xml:space="preserve">Miami Special Education Consulting Group</w:t>
      </w:r>
    </w:p>
    <w:p>
      <w:pPr>
        <w:pStyle w:val="FirstParagraph"/>
      </w:pPr>
      <w:r>
        <w:t xml:space="preserve">A late payment fee of 1.5% per month will be applied to any balance remaining after the due date. This Invoice is subject to the terms outlined in Contract MDCPS-SE-2025-0034 between Miami-Dade County Public Schools and the Special Education Teacher service provider.</w:t>
      </w:r>
    </w:p>
    <w:bookmarkEnd w:id="24"/>
    <w:bookmarkStart w:id="25" w:name="additional-notes"/>
    <w:p>
      <w:pPr>
        <w:pStyle w:val="Heading3"/>
      </w:pPr>
      <w:r>
        <w:t xml:space="preserve">Additional Notes</w:t>
      </w:r>
    </w:p>
    <w:p>
      <w:pPr>
        <w:pStyle w:val="FirstParagraph"/>
      </w:pPr>
      <w:r>
        <w:t xml:space="preserve">This Invoice reflects services rendered by a fully licensed Special Education Teacher operating under the jurisdiction of the Florida Department of Education. All services were delivered in accordance with the Individuals with Disabilities Education Act (IDEA), Section 504 of the Rehabilitation Act, and applicable Florida state regulations governing special education in the Miami, United States metropolitan area.</w:t>
      </w:r>
    </w:p>
    <w:p>
      <w:pPr>
        <w:pStyle w:val="BodyText"/>
      </w:pPr>
      <w:r>
        <w:t xml:space="preserve">The Special Education Teacher maintains current certification in Autism Spectrum Disorders, Learning Disabilities, and Assistive Technology. All hours reported on this Invoice have been verified by the site supervisor at Coral Gables Elementary School and are consistent with the approved service plan on file with the Miami-Dade County Office of Special Education Services.</w:t>
      </w:r>
    </w:p>
    <w:p>
      <w:pPr>
        <w:pStyle w:val="BodyText"/>
      </w:pPr>
      <w:r>
        <w:t xml:space="preserve">Should you have any questions regarding this Invoice or require itemized clarification of any line item, please contact our billing department at (305) 555-0187 or billing@miespecedconsulting.com. We appreciate your prompt attention to this matter and look forward to continuing our partnership to support students with special needs across Miami, United States.</w:t>
      </w:r>
    </w:p>
    <w:bookmarkEnd w:id="25"/>
    <w:p>
      <w:pPr>
        <w:pStyle w:val="BodyText"/>
      </w:pPr>
      <w:r>
        <w:rPr>
          <w:bCs/>
          <w:b/>
        </w:rPr>
        <w:t xml:space="preserve">Miami Special Education Consulting Group</w:t>
      </w:r>
      <w:r>
        <w:t xml:space="preserve"> </w:t>
      </w:r>
      <w:r>
        <w:t xml:space="preserve">| 1200 Biscayne Boulevard, Suite 450, Miami, FL 33132, United States</w:t>
      </w:r>
    </w:p>
    <w:p>
      <w:pPr>
        <w:pStyle w:val="BodyText"/>
      </w:pPr>
      <w:r>
        <w:t xml:space="preserve">Florida Business License: FL-2024-8873421 | EIN: 82-4471903</w:t>
      </w:r>
    </w:p>
    <w:p>
      <w:pPr>
        <w:pStyle w:val="BodyText"/>
      </w:pPr>
      <w:r>
        <w:t xml:space="preserve">This Invoice was generated electronically and is valid without a physical signature. Thank you for your business.</w:t>
      </w:r>
    </w:p>
    <w:p>
      <w:pPr>
        <w:pStyle w:val="BodyText"/>
      </w:pPr>
      <w:r>
        <w:t xml:space="preserve">Page 1 of 1 | Generated: June 15, 2025 | Invoice MIE-SE-2025-0047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Miami, United States</dc:title>
  <dc:creator/>
  <dc:language>en</dc:language>
  <cp:keywords/>
  <dcterms:created xsi:type="dcterms:W3CDTF">2026-10-10T01:24:33Z</dcterms:created>
  <dcterms:modified xsi:type="dcterms:W3CDTF">2026-10-10T01:24:33Z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