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antum-statistical-consulting-s.a."/>
    <w:p>
      <w:pPr>
        <w:pStyle w:val="Heading1"/>
      </w:pPr>
      <w:r>
        <w:t xml:space="preserve">Quantum Statistical Consulting S.A.</w:t>
      </w:r>
    </w:p>
    <w:p>
      <w:pPr>
        <w:pStyle w:val="FirstParagraph"/>
      </w:pPr>
      <w:r>
        <w:t xml:space="preserve">Av. Corrientes 2340, Piso 12, C1043AAB</w:t>
      </w:r>
    </w:p>
    <w:p>
      <w:pPr>
        <w:pStyle w:val="BodyText"/>
      </w:pPr>
      <w:r>
        <w:t xml:space="preserve">Buenos Aires, Argentina</w:t>
      </w:r>
    </w:p>
    <w:p>
      <w:pPr>
        <w:pStyle w:val="BodyText"/>
      </w:pPr>
      <w:r>
        <w:t xml:space="preserve">CUIT: 30-71234567-8</w:t>
      </w:r>
    </w:p>
    <w:p>
      <w:pPr>
        <w:pStyle w:val="BodyText"/>
      </w:pPr>
      <w:r>
        <w:t xml:space="preserve">Phone: +54 11 4321-5678</w:t>
      </w:r>
    </w:p>
    <w:p>
      <w:pPr>
        <w:pStyle w:val="BodyText"/>
      </w:pPr>
      <w:r>
        <w:t xml:space="preserve">Email: billing@quantumstatistical.com.ar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QSC-2025-00487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Meridian Pharmaceuticals Argentina S.A.</w:t>
      </w:r>
    </w:p>
    <w:p>
      <w:pPr>
        <w:pStyle w:val="BodyText"/>
      </w:pPr>
      <w:r>
        <w:t xml:space="preserve">Av. Santa Fe 4521, Piso 8</w:t>
      </w:r>
    </w:p>
    <w:p>
      <w:pPr>
        <w:pStyle w:val="BodyText"/>
      </w:pPr>
      <w:r>
        <w:t xml:space="preserve">C1121AAT, Buenos Aires, Argentina</w:t>
      </w:r>
    </w:p>
    <w:p>
      <w:pPr>
        <w:pStyle w:val="BodyText"/>
      </w:pPr>
      <w:r>
        <w:t xml:space="preserve">CUIT: 30-69876543-2</w:t>
      </w:r>
    </w:p>
    <w:p>
      <w:pPr>
        <w:pStyle w:val="BodyText"/>
      </w:pPr>
      <w:r>
        <w:t xml:space="preserve">Attn: Dr. Carolina Méndez, Director of R&amp;D</w:t>
      </w:r>
    </w:p>
    <w:p>
      <w:pPr>
        <w:pStyle w:val="BodyText"/>
      </w:pPr>
      <w:r>
        <w:t xml:space="preserve">Email: c.mendez@meridianpharma.com.ar</w:t>
      </w:r>
    </w:p>
    <w:bookmarkEnd w:id="22"/>
    <w:bookmarkStart w:id="23" w:name="service-provider"/>
    <w:p>
      <w:pPr>
        <w:pStyle w:val="Heading3"/>
      </w:pPr>
      <w:r>
        <w:t xml:space="preserve">Service Provider</w:t>
      </w:r>
    </w:p>
    <w:p>
      <w:pPr>
        <w:pStyle w:val="FirstParagraph"/>
      </w:pPr>
      <w:r>
        <w:rPr>
          <w:bCs/>
          <w:b/>
        </w:rPr>
        <w:t xml:space="preserve">Dr. Alejandro Ríos, Ph.D.</w:t>
      </w:r>
    </w:p>
    <w:p>
      <w:pPr>
        <w:pStyle w:val="BodyText"/>
      </w:pPr>
      <w:r>
        <w:t xml:space="preserve">Lead Statistician, Quantum Statistical Consulting S.A.</w:t>
      </w:r>
    </w:p>
    <w:p>
      <w:pPr>
        <w:pStyle w:val="BodyText"/>
      </w:pPr>
      <w:r>
        <w:t xml:space="preserve">Professional License: CABA-STAT-2019-0042</w:t>
      </w:r>
    </w:p>
    <w:p>
      <w:pPr>
        <w:pStyle w:val="BodyText"/>
      </w:pPr>
      <w:r>
        <w:t xml:space="preserve">Registered with the Argentine Statistical Society</w:t>
      </w:r>
    </w:p>
    <w:p>
      <w:pPr>
        <w:pStyle w:val="BodyText"/>
      </w:pPr>
      <w:r>
        <w:t xml:space="preserve">Specialization: Biostatistics &amp; Clinical Trials</w:t>
      </w:r>
    </w:p>
    <w:p>
      <w:pPr>
        <w:pStyle w:val="BodyText"/>
      </w:pPr>
      <w:r>
        <w:t xml:space="preserve">Office: Buenos Aires, 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Period</w:t>
            </w:r>
          </w:p>
        </w:tc>
        <w:tc>
          <w:tcPr/>
          <w:p>
            <w:pPr>
              <w:pStyle w:val="Compact"/>
              <w:jc w:val="left"/>
            </w:pPr>
            <w:r>
              <w:t xml:space="preserve">Rate (ARS)</w:t>
            </w:r>
          </w:p>
        </w:tc>
        <w:tc>
          <w:tcPr/>
          <w:p>
            <w:pPr>
              <w:pStyle w:val="Compact"/>
              <w:jc w:val="left"/>
            </w:pPr>
            <w:r>
              <w:t xml:space="preserve">Hours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Design and implementation of a randomized controlled trial statistical analysis plan for Phase III clinical trial (Protocol MER-2025-014). The Statistician developed the full statistical methodology, including sample size justification, primary and secondary endpoint definitions, and interim analysis procedures compliant with ANMAT regulations in Argentina.</w:t>
            </w:r>
          </w:p>
        </w:tc>
        <w:tc>
          <w:tcPr/>
          <w:p>
            <w:pPr>
              <w:pStyle w:val="Compact"/>
              <w:jc w:val="left"/>
            </w:pPr>
            <w:r>
              <w:t xml:space="preserve">Jan 6 – Feb 28, 2025</w:t>
            </w:r>
          </w:p>
        </w:tc>
        <w:tc>
          <w:tcPr/>
          <w:p>
            <w:pPr>
              <w:pStyle w:val="Compact"/>
              <w:jc w:val="left"/>
            </w:pPr>
            <w:r>
              <w:t xml:space="preserve">45,000</w:t>
            </w:r>
          </w:p>
        </w:tc>
        <w:tc>
          <w:tcPr/>
          <w:p>
            <w:pPr>
              <w:pStyle w:val="Compact"/>
              <w:jc w:val="left"/>
            </w:pPr>
            <w:r>
              <w:t xml:space="preserve">120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Comprehensive data cleaning, validation, and exploratory data analysis of 2,400 patient records collected across 12 clinical sites in Buenos Aires and surrounding provinces. The Statistician performed outlier detection, missing data imputation using multiple imputation by chained equations, and generated summary statistics for the clinical team.</w:t>
            </w:r>
          </w:p>
        </w:tc>
        <w:tc>
          <w:tcPr/>
          <w:p>
            <w:pPr>
              <w:pStyle w:val="Compact"/>
              <w:jc w:val="left"/>
            </w:pPr>
            <w:r>
              <w:t xml:space="preserve">Mar 1 – Apr 15, 2025</w:t>
            </w:r>
          </w:p>
        </w:tc>
        <w:tc>
          <w:tcPr/>
          <w:p>
            <w:pPr>
              <w:pStyle w:val="Compact"/>
              <w:jc w:val="left"/>
            </w:pPr>
            <w:r>
              <w:t xml:space="preserve">45,000</w:t>
            </w:r>
          </w:p>
        </w:tc>
        <w:tc>
          <w:tcPr/>
          <w:p>
            <w:pPr>
              <w:pStyle w:val="Compact"/>
              <w:jc w:val="left"/>
            </w:pPr>
            <w:r>
              <w:t xml:space="preserve">96</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Development of multivariate regression models and survival analysis (Cox proportional hazards) for the primary efficacy endpoint. The Statistician conducted sensitivity analyses, subgroup analyses, and produced publication-ready figures and tables for the regulatory submission dossier filed with ANMAT in Buenos Aires.</w:t>
            </w:r>
          </w:p>
        </w:tc>
        <w:tc>
          <w:tcPr/>
          <w:p>
            <w:pPr>
              <w:pStyle w:val="Compact"/>
              <w:jc w:val="left"/>
            </w:pPr>
            <w:r>
              <w:t xml:space="preserve">Apr 16 – May 30, 2025</w:t>
            </w:r>
          </w:p>
        </w:tc>
        <w:tc>
          <w:tcPr/>
          <w:p>
            <w:pPr>
              <w:pStyle w:val="Compact"/>
              <w:jc w:val="left"/>
            </w:pPr>
            <w:r>
              <w:t xml:space="preserve">45,000</w:t>
            </w:r>
          </w:p>
        </w:tc>
        <w:tc>
          <w:tcPr/>
          <w:p>
            <w:pPr>
              <w:pStyle w:val="Compact"/>
              <w:jc w:val="left"/>
            </w:pPr>
            <w:r>
              <w:t xml:space="preserve">110</w:t>
            </w:r>
          </w:p>
        </w:tc>
        <w:tc>
          <w:tcPr/>
          <w:p>
            <w:pPr>
              <w:pStyle w:val="Compact"/>
              <w:jc w:val="left"/>
            </w:pPr>
            <w:r>
              <w:t xml:space="preserve">4,950,000</w:t>
            </w:r>
          </w:p>
        </w:tc>
      </w:tr>
      <w:tr>
        <w:tc>
          <w:tcPr/>
          <w:p>
            <w:pPr>
              <w:pStyle w:val="Compact"/>
              <w:jc w:val="left"/>
            </w:pPr>
            <w:r>
              <w:t xml:space="preserve">4</w:t>
            </w:r>
          </w:p>
        </w:tc>
        <w:tc>
          <w:tcPr/>
          <w:p>
            <w:pPr>
              <w:pStyle w:val="Compact"/>
              <w:jc w:val="left"/>
            </w:pPr>
            <w:r>
              <w:t xml:space="preserve">Preparation of the statistical section of the Investigator's Brochure and the Clinical Trial Report. The Statistician authored 45 pages of statistical narrative, including interpretation of results, limitations, and recommendations for future studies. All documentation was prepared in accordance with ICH E9 guidelines and Argentine pharmaceutical regulations.</w:t>
            </w:r>
          </w:p>
        </w:tc>
        <w:tc>
          <w:tcPr/>
          <w:p>
            <w:pPr>
              <w:pStyle w:val="Compact"/>
              <w:jc w:val="left"/>
            </w:pPr>
            <w:r>
              <w:t xml:space="preserve">Jun 1 – Jun 14, 2025</w:t>
            </w:r>
          </w:p>
        </w:tc>
        <w:tc>
          <w:tcPr/>
          <w:p>
            <w:pPr>
              <w:pStyle w:val="Compact"/>
              <w:jc w:val="left"/>
            </w:pPr>
            <w:r>
              <w:t xml:space="preserve">45,000</w:t>
            </w:r>
          </w:p>
        </w:tc>
        <w:tc>
          <w:tcPr/>
          <w:p>
            <w:pPr>
              <w:pStyle w:val="Compact"/>
              <w:jc w:val="left"/>
            </w:pPr>
            <w:r>
              <w:t xml:space="preserve">60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On-site consultation and training session (16 hours) for the Meridian Pharmaceuticals Argentina data management team in Buenos Aires. The Statistician provided hands-on training in R programming for statistical analysis, SAS macro development, and best practices in clinical data management aligned with Argentine data protection law (Ley 25.326).</w:t>
            </w:r>
          </w:p>
        </w:tc>
        <w:tc>
          <w:tcPr/>
          <w:p>
            <w:pPr>
              <w:pStyle w:val="Compact"/>
              <w:jc w:val="left"/>
            </w:pPr>
            <w:r>
              <w:t xml:space="preserve">Jun 10 – Jun 13, 2025</w:t>
            </w:r>
          </w:p>
        </w:tc>
        <w:tc>
          <w:tcPr/>
          <w:p>
            <w:pPr>
              <w:pStyle w:val="Compact"/>
              <w:jc w:val="left"/>
            </w:pPr>
            <w:r>
              <w:t xml:space="preserve">55,000</w:t>
            </w:r>
          </w:p>
        </w:tc>
        <w:tc>
          <w:tcPr/>
          <w:p>
            <w:pPr>
              <w:pStyle w:val="Compact"/>
              <w:jc w:val="left"/>
            </w:pPr>
            <w:r>
              <w:t xml:space="preserve">16</w:t>
            </w:r>
          </w:p>
        </w:tc>
        <w:tc>
          <w:tcPr/>
          <w:p>
            <w:pPr>
              <w:pStyle w:val="Compact"/>
              <w:jc w:val="left"/>
            </w:pPr>
            <w:r>
              <w:t xml:space="preserve">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ARS 18,250,000.00</w:t>
            </w:r>
          </w:p>
        </w:tc>
      </w:tr>
      <w:tr>
        <w:tc>
          <w:tcPr/>
          <w:p>
            <w:pPr>
              <w:pStyle w:val="Compact"/>
              <w:jc w:val="left"/>
            </w:pPr>
            <w:r>
              <w:t xml:space="preserve">IVA (21% - Argentine Value Added Tax)</w:t>
            </w:r>
          </w:p>
        </w:tc>
        <w:tc>
          <w:tcPr/>
          <w:p>
            <w:pPr>
              <w:pStyle w:val="Compact"/>
              <w:jc w:val="right"/>
            </w:pPr>
            <w:r>
              <w:t xml:space="preserve">ARS 3,832,500.00</w:t>
            </w:r>
          </w:p>
        </w:tc>
      </w:tr>
      <w:tr>
        <w:tc>
          <w:tcPr/>
          <w:p>
            <w:pPr>
              <w:pStyle w:val="Compact"/>
              <w:jc w:val="left"/>
            </w:pPr>
            <w:r>
              <w:t xml:space="preserve">Professional Services Tax (Ingresos Brutos - CABA 3%)</w:t>
            </w:r>
          </w:p>
        </w:tc>
        <w:tc>
          <w:tcPr/>
          <w:p>
            <w:pPr>
              <w:pStyle w:val="Compact"/>
              <w:jc w:val="right"/>
            </w:pPr>
            <w:r>
              <w:t xml:space="preserve">ARS 547,500.00</w:t>
            </w:r>
          </w:p>
        </w:tc>
      </w:tr>
      <w:tr>
        <w:tc>
          <w:tcPr/>
          <w:p>
            <w:pPr>
              <w:pStyle w:val="Compact"/>
              <w:jc w:val="left"/>
            </w:pPr>
            <w:r>
              <w:t xml:space="preserve">TOTAL AMOUNT DUE</w:t>
            </w:r>
          </w:p>
        </w:tc>
        <w:tc>
          <w:tcPr/>
          <w:p>
            <w:pPr>
              <w:pStyle w:val="Compact"/>
              <w:jc w:val="right"/>
            </w:pPr>
            <w:r>
              <w:t xml:space="preserve">ARS 22,630,000.00</w:t>
            </w:r>
          </w:p>
        </w:tc>
      </w:tr>
    </w:tbl>
    <w:bookmarkStart w:id="24" w:name="payment-terms-invoice-notes"/>
    <w:p>
      <w:pPr>
        <w:pStyle w:val="Heading3"/>
      </w:pPr>
      <w:r>
        <w:t xml:space="preserve">Payment Terms &amp; Invoice Notes</w:t>
      </w:r>
    </w:p>
    <w:p>
      <w:pPr>
        <w:numPr>
          <w:ilvl w:val="0"/>
          <w:numId w:val="1001"/>
        </w:numPr>
        <w:pStyle w:val="Compact"/>
      </w:pPr>
      <w:r>
        <w:t xml:space="preserve">This Invoice is payable within 30 calendar days from the date of issue (July 15, 2025) via bank transfer to the account specified below. Late payments will accrue interest at the rate established by the Argentine Central Bank (BCRA) for overdue commercial obligations.</w:t>
      </w:r>
    </w:p>
    <w:p>
      <w:pPr>
        <w:numPr>
          <w:ilvl w:val="0"/>
          <w:numId w:val="1001"/>
        </w:numPr>
        <w:pStyle w:val="Compact"/>
      </w:pPr>
      <w:r>
        <w:t xml:space="preserve">Payment should be made to: Banco de la Nación Argentina, CBU: 0110001000000000000001, CUIT: 30-71234567-8, Account Holder: Quantum Statistical Consulting S.A., Buenos Aires, Argentina.</w:t>
      </w:r>
    </w:p>
    <w:p>
      <w:pPr>
        <w:numPr>
          <w:ilvl w:val="0"/>
          <w:numId w:val="1001"/>
        </w:numPr>
        <w:pStyle w:val="Compact"/>
      </w:pPr>
      <w:r>
        <w:t xml:space="preserve">All services rendered by the Statistician were performed in full compliance with the Argentine Code of Ethics for Statistical Professionals and the professional regulations of the City of Buenos Aires (CABA).</w:t>
      </w:r>
    </w:p>
    <w:p>
      <w:pPr>
        <w:numPr>
          <w:ilvl w:val="0"/>
          <w:numId w:val="1001"/>
        </w:numPr>
        <w:pStyle w:val="Compact"/>
      </w:pPr>
      <w:r>
        <w:t xml:space="preserve">This Invoice constitutes a valid fiscal document (Factura A) issued under the Argentine tax regime. The client is entitled to request a duplicate copy from our billing department in Buenos Aires within 90 days.</w:t>
      </w:r>
    </w:p>
    <w:p>
      <w:pPr>
        <w:numPr>
          <w:ilvl w:val="0"/>
          <w:numId w:val="1001"/>
        </w:numPr>
        <w:pStyle w:val="Compact"/>
      </w:pPr>
      <w:r>
        <w:t xml:space="preserve">Any disputes regarding the scope of statistical services described in this Invoice must be raised in writing within 15 business days of receipt. The governing law for this Invoice and the underlying service agreement is the Civil and Commercial Code of the Argentine Nation, with jurisdiction in the courts of the City of Buenos Aires, Argentina.</w:t>
      </w:r>
    </w:p>
    <w:p>
      <w:pPr>
        <w:numPr>
          <w:ilvl w:val="0"/>
          <w:numId w:val="1001"/>
        </w:numPr>
        <w:pStyle w:val="Compact"/>
      </w:pPr>
      <w:r>
        <w:t xml:space="preserve">The Statistician warrants that all statistical analyses, models, and reports delivered under this engagement were performed with professional diligence, using validated software (R version 4.3.2, SAS 9.4) and adhering to internationally recognized statistical standards.</w:t>
      </w:r>
    </w:p>
    <w:bookmarkEnd w:id="24"/>
    <w:bookmarkStart w:id="25" w:name="legal-regulatory-information"/>
    <w:p>
      <w:pPr>
        <w:pStyle w:val="Heading3"/>
      </w:pPr>
      <w:r>
        <w:t xml:space="preserve">Legal &amp; Regulatory Information</w:t>
      </w:r>
    </w:p>
    <w:p>
      <w:pPr>
        <w:pStyle w:val="FirstParagraph"/>
      </w:pPr>
      <w:r>
        <w:t xml:space="preserve">Quantum Statistical Consulting S.A. is a company duly incorporated under the laws of the Argentine Nation, with its principal office located in the City of Buenos Aires, Argentina. The Statistician providing services under this Invoice holds a Doctorate in Statistics from the Universidad de Buenos Aires (UBA) and is registered with the Colegio de Estadísticos de la Ciudad de Buenos Aires under license number CABA-STAT-2019-0042.</w:t>
      </w:r>
    </w:p>
    <w:p>
      <w:pPr>
        <w:pStyle w:val="BodyText"/>
      </w:pPr>
      <w:r>
        <w:t xml:space="preserve">All statistical work performed in connection with this Invoice complies with the regulations of the Administración Nacional de Medicamentos, Alimentos y Tecnología Médica (ANMAT), the Argentine national regulatory authority headquartered in Buenos Aires, as well as the International Council for Harmonisation (ICH) guidelines applicable to clinical trial statistics.</w:t>
      </w:r>
    </w:p>
    <w:p>
      <w:pPr>
        <w:pStyle w:val="BodyText"/>
      </w:pPr>
      <w:r>
        <w:t xml:space="preserve">Personal data processed in connection with this Invoice and the underlying services are handled in accordance with Ley 25.326 de Protección de Datos Personales (Argentina) and its implementing regulations. The client's data will not be disclosed to third parties except as required by Argentine law or regulatory authority in Buenos Aires.</w:t>
      </w:r>
    </w:p>
    <w:p>
      <w:pPr>
        <w:pStyle w:val="BodyText"/>
      </w:pPr>
      <w:r>
        <w:t xml:space="preserve">This Invoice is issued electronically in accordance with the Argentine electronic invoicing system (Sistema de Facturación Electrónica) administered by the Administración Federal de Ingresos Públicos (AFIP), Buenos Aires, Argentina.</w:t>
      </w:r>
    </w:p>
    <w:bookmarkEnd w:id="25"/>
    <w:p>
      <w:pPr>
        <w:pStyle w:val="BodyText"/>
      </w:pPr>
      <w:r>
        <w:t xml:space="preserve">Thank you for choosing Quantum Statistical Consulting S.A. for your statistical needs in Argentina Buenos Aires.</w:t>
      </w:r>
    </w:p>
    <w:p>
      <w:pPr>
        <w:pStyle w:val="BodyText"/>
      </w:pPr>
      <w:r>
        <w:t xml:space="preserve">For questions regarding this Invoice, please contact our billing department at billing@quantumstatistical.com.ar or +54 11 4321-5678.</w:t>
      </w:r>
    </w:p>
    <w:p>
      <w:pPr>
        <w:pStyle w:val="BodyText"/>
      </w:pPr>
      <w:r>
        <w:t xml:space="preserve">Quantum Statistical Consulting S.A. | Av. Corrientes 2340, Piso 12, C1043AAB Buenos Aires, Argentina | CUIT: 30-71234567-8</w:t>
      </w:r>
    </w:p>
    <w:p>
      <w:pPr>
        <w:pStyle w:val="BodyText"/>
      </w:pPr>
      <w:r>
        <w:t xml:space="preserve">This document is a valid Invoice for all legal and fiscal purposes in the Argentine Republic. Invoice No. QSC-2025-00487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Argentina Buenos Aires</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