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Australia</w:t>
      </w:r>
      <w:r>
        <w:t xml:space="preserve"> </w:t>
      </w:r>
      <w:r>
        <w:t xml:space="preserve">Sydney</w:t>
      </w:r>
    </w:p>
    <w:p>
      <w:pPr>
        <w:pStyle w:val="FirstParagraph"/>
      </w:pPr>
      <w:r>
        <w:t xml:space="preserve">INVOICE</w:t>
      </w:r>
    </w:p>
    <w:p>
      <w:pPr>
        <w:pStyle w:val="BodyText"/>
      </w:pPr>
      <w:r>
        <w:t xml:space="preserve">Professional Statistical Consulting Services</w:t>
      </w:r>
    </w:p>
    <w:p>
      <w:pPr>
        <w:pStyle w:val="BodyText"/>
      </w:pPr>
      <w:r>
        <w:rPr>
          <w:bCs/>
          <w:b/>
        </w:rPr>
        <w:t xml:space="preserve">Invoice Number:</w:t>
      </w:r>
      <w:r>
        <w:t xml:space="preserve"> </w:t>
      </w:r>
      <w:r>
        <w:t xml:space="preserve">INV-2025-04782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Status:</w:t>
      </w:r>
      <w:r>
        <w:t xml:space="preserve"> </w:t>
      </w:r>
      <w:r>
        <w:t xml:space="preserve">PENDING</w:t>
      </w:r>
    </w:p>
    <w:bookmarkStart w:id="20" w:name="from-service-provider"/>
    <w:p>
      <w:pPr>
        <w:pStyle w:val="Heading3"/>
      </w:pPr>
      <w:r>
        <w:t xml:space="preserve">From (Service Provider)</w:t>
      </w:r>
    </w:p>
    <w:p>
      <w:pPr>
        <w:pStyle w:val="FirstParagraph"/>
      </w:pPr>
      <w:r>
        <w:rPr>
          <w:bCs/>
          <w:b/>
        </w:rPr>
        <w:t xml:space="preserve">Dr. Eleanor Whitfield, Statistician</w:t>
      </w:r>
    </w:p>
    <w:p>
      <w:pPr>
        <w:pStyle w:val="BodyText"/>
      </w:pPr>
      <w:r>
        <w:t xml:space="preserve">Whitfield Statistical Consulting Pty Ltd</w:t>
      </w:r>
    </w:p>
    <w:p>
      <w:pPr>
        <w:pStyle w:val="BodyText"/>
      </w:pPr>
      <w:r>
        <w:t xml:space="preserve">Suite 412, Level 4, 200 George Street</w:t>
      </w:r>
    </w:p>
    <w:p>
      <w:pPr>
        <w:pStyle w:val="BodyText"/>
      </w:pPr>
      <w:r>
        <w:t xml:space="preserve">Sydney, NSW 2000, Australia</w:t>
      </w:r>
    </w:p>
    <w:p>
      <w:pPr>
        <w:pStyle w:val="BodyText"/>
      </w:pPr>
      <w:r>
        <w:t xml:space="preserve">ABN: 48 217 934 561</w:t>
      </w:r>
    </w:p>
    <w:p>
      <w:pPr>
        <w:pStyle w:val="BodyText"/>
      </w:pPr>
      <w:r>
        <w:t xml:space="preserve">Email: e.whitfield@whitfieldstats.com.au</w:t>
      </w:r>
    </w:p>
    <w:p>
      <w:pPr>
        <w:pStyle w:val="BodyText"/>
      </w:pPr>
      <w:r>
        <w:t xml:space="preserve">Phone: +61 2 9355 4821</w:t>
      </w:r>
    </w:p>
    <w:bookmarkEnd w:id="20"/>
    <w:bookmarkStart w:id="21" w:name="billed-to-client"/>
    <w:p>
      <w:pPr>
        <w:pStyle w:val="Heading3"/>
      </w:pPr>
      <w:r>
        <w:t xml:space="preserve">Billed To (Client)</w:t>
      </w:r>
    </w:p>
    <w:p>
      <w:pPr>
        <w:pStyle w:val="FirstParagraph"/>
      </w:pPr>
      <w:r>
        <w:rPr>
          <w:bCs/>
          <w:b/>
        </w:rPr>
        <w:t xml:space="preserve">Harbourview Analytics Group Pty Ltd</w:t>
      </w:r>
    </w:p>
    <w:p>
      <w:pPr>
        <w:pStyle w:val="BodyText"/>
      </w:pPr>
      <w:r>
        <w:t xml:space="preserve">Attn: Mr. James Callahan, Chief Data Officer</w:t>
      </w:r>
    </w:p>
    <w:p>
      <w:pPr>
        <w:pStyle w:val="BodyText"/>
      </w:pPr>
      <w:r>
        <w:t xml:space="preserve">Level 18, 1 Macquarie Place</w:t>
      </w:r>
    </w:p>
    <w:p>
      <w:pPr>
        <w:pStyle w:val="BodyText"/>
      </w:pPr>
      <w:r>
        <w:t xml:space="preserve">Sydney, NSW 2000, Australia</w:t>
      </w:r>
    </w:p>
    <w:p>
      <w:pPr>
        <w:pStyle w:val="BodyText"/>
      </w:pPr>
      <w:r>
        <w:t xml:space="preserve">ABN: 12 845 672 309</w:t>
      </w:r>
    </w:p>
    <w:p>
      <w:pPr>
        <w:pStyle w:val="BodyText"/>
      </w:pPr>
      <w:r>
        <w:t xml:space="preserve">Email: j.callahan@harbourviewanalytics.com.au</w:t>
      </w:r>
    </w:p>
    <w:bookmarkEnd w:id="21"/>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Amount (AUD)</w:t>
            </w:r>
          </w:p>
        </w:tc>
        <w:tc>
          <w:tcPr/>
          <w:p>
            <w:pPr>
              <w:pStyle w:val="Compact"/>
              <w:jc w:val="left"/>
            </w:pPr>
            <w:r>
              <w:t xml:space="preserve">Date Performed</w:t>
            </w:r>
          </w:p>
        </w:tc>
      </w:tr>
      <w:tr>
        <w:tc>
          <w:tcPr/>
          <w:p>
            <w:pPr>
              <w:pStyle w:val="Compact"/>
              <w:jc w:val="left"/>
            </w:pPr>
            <w:r>
              <w:t xml:space="preserve">1</w:t>
            </w:r>
          </w:p>
        </w:tc>
        <w:tc>
          <w:tcPr/>
          <w:p>
            <w:pPr>
              <w:pStyle w:val="Compact"/>
              <w:jc w:val="left"/>
            </w:pPr>
            <w:r>
              <w:rPr>
                <w:bCs/>
                <w:b/>
              </w:rPr>
              <w:t xml:space="preserve">Statistical Modelling &amp; Predictive Analysis</w:t>
            </w:r>
            <w:r>
              <w:br/>
            </w:r>
            <w:r>
              <w:t xml:space="preserve">The Statistician developed and validated a multivariate regression model for the client's quarterly revenue forecasting. This engagement involved data cleaning, feature engineering, model selection, and cross-validation using R and Python within the Australia Sydney metropolitan data infrastructure.</w:t>
            </w:r>
          </w:p>
        </w:tc>
        <w:tc>
          <w:tcPr/>
          <w:p>
            <w:pPr>
              <w:pStyle w:val="Compact"/>
              <w:jc w:val="left"/>
            </w:pPr>
            <w:r>
              <w:t xml:space="preserve">$285.00</w:t>
            </w:r>
          </w:p>
        </w:tc>
        <w:tc>
          <w:tcPr/>
          <w:p>
            <w:pPr>
              <w:pStyle w:val="Compact"/>
              <w:jc w:val="left"/>
            </w:pPr>
            <w:r>
              <w:t xml:space="preserve">32.0</w:t>
            </w:r>
          </w:p>
        </w:tc>
        <w:tc>
          <w:tcPr/>
          <w:p>
            <w:pPr>
              <w:pStyle w:val="Compact"/>
              <w:jc w:val="left"/>
            </w:pPr>
            <w:r>
              <w:t xml:space="preserve">$9,120.00</w:t>
            </w:r>
          </w:p>
        </w:tc>
        <w:tc>
          <w:tcPr/>
          <w:p>
            <w:pPr>
              <w:pStyle w:val="Compact"/>
              <w:jc w:val="left"/>
            </w:pPr>
            <w:r>
              <w:t xml:space="preserve">02 Jun – 06 Jun 2025</w:t>
            </w:r>
          </w:p>
        </w:tc>
      </w:tr>
      <w:tr>
        <w:tc>
          <w:tcPr/>
          <w:p>
            <w:pPr>
              <w:pStyle w:val="Compact"/>
              <w:jc w:val="left"/>
            </w:pPr>
            <w:r>
              <w:t xml:space="preserve">2</w:t>
            </w:r>
          </w:p>
        </w:tc>
        <w:tc>
          <w:tcPr/>
          <w:p>
            <w:pPr>
              <w:pStyle w:val="Compact"/>
              <w:jc w:val="left"/>
            </w:pPr>
            <w:r>
              <w:rPr>
                <w:bCs/>
                <w:b/>
              </w:rPr>
              <w:t xml:space="preserve">Bayesian Inference &amp; Monte Carlo Simulation</w:t>
            </w:r>
            <w:r>
              <w:br/>
            </w:r>
            <w:r>
              <w:t xml:space="preserve">The Statistician conducted a comprehensive Bayesian analysis of the client's customer churn dataset, employing Markov Chain Monte Carlo (MCMC) methods to estimate posterior distributions. This work was performed at the Australia Sydney office and included sensitivity analysis across 10,000 simulation iterations.</w:t>
            </w:r>
          </w:p>
        </w:tc>
        <w:tc>
          <w:tcPr/>
          <w:p>
            <w:pPr>
              <w:pStyle w:val="Compact"/>
              <w:jc w:val="left"/>
            </w:pPr>
            <w:r>
              <w:t xml:space="preserve">$285.00</w:t>
            </w:r>
          </w:p>
        </w:tc>
        <w:tc>
          <w:tcPr/>
          <w:p>
            <w:pPr>
              <w:pStyle w:val="Compact"/>
              <w:jc w:val="left"/>
            </w:pPr>
            <w:r>
              <w:t xml:space="preserve">24.0</w:t>
            </w:r>
          </w:p>
        </w:tc>
        <w:tc>
          <w:tcPr/>
          <w:p>
            <w:pPr>
              <w:pStyle w:val="Compact"/>
              <w:jc w:val="left"/>
            </w:pPr>
            <w:r>
              <w:t xml:space="preserve">$6,840.00</w:t>
            </w:r>
          </w:p>
        </w:tc>
        <w:tc>
          <w:tcPr/>
          <w:p>
            <w:pPr>
              <w:pStyle w:val="Compact"/>
              <w:jc w:val="left"/>
            </w:pPr>
            <w:r>
              <w:t xml:space="preserve">09 Jun – 12 Jun 2025</w:t>
            </w:r>
          </w:p>
        </w:tc>
      </w:tr>
      <w:tr>
        <w:tc>
          <w:tcPr/>
          <w:p>
            <w:pPr>
              <w:pStyle w:val="Compact"/>
              <w:jc w:val="left"/>
            </w:pPr>
            <w:r>
              <w:t xml:space="preserve">3</w:t>
            </w:r>
          </w:p>
        </w:tc>
        <w:tc>
          <w:tcPr/>
          <w:p>
            <w:pPr>
              <w:pStyle w:val="Compact"/>
              <w:jc w:val="left"/>
            </w:pPr>
            <w:r>
              <w:rPr>
                <w:bCs/>
                <w:b/>
              </w:rPr>
              <w:t xml:space="preserve">Design of Experiments (DOE) Consultation</w:t>
            </w:r>
            <w:r>
              <w:br/>
            </w:r>
            <w:r>
              <w:t xml:space="preserve">The Statistician designed a fractional factorial experiment for the client's manufacturing quality improvement programme. This Invoice item covers the formulation of treatment combinations, randomisation protocols, and the statistical power analysis required to detect effects at the 95% confidence level within the Australia Sydney operational context.</w:t>
            </w:r>
          </w:p>
        </w:tc>
        <w:tc>
          <w:tcPr/>
          <w:p>
            <w:pPr>
              <w:pStyle w:val="Compact"/>
              <w:jc w:val="left"/>
            </w:pPr>
            <w:r>
              <w:t xml:space="preserve">$285.00</w:t>
            </w:r>
          </w:p>
        </w:tc>
        <w:tc>
          <w:tcPr/>
          <w:p>
            <w:pPr>
              <w:pStyle w:val="Compact"/>
              <w:jc w:val="left"/>
            </w:pPr>
            <w:r>
              <w:t xml:space="preserve">16.0</w:t>
            </w:r>
          </w:p>
        </w:tc>
        <w:tc>
          <w:tcPr/>
          <w:p>
            <w:pPr>
              <w:pStyle w:val="Compact"/>
              <w:jc w:val="left"/>
            </w:pPr>
            <w:r>
              <w:t xml:space="preserve">$4,560.00</w:t>
            </w:r>
          </w:p>
        </w:tc>
        <w:tc>
          <w:tcPr/>
          <w:p>
            <w:pPr>
              <w:pStyle w:val="Compact"/>
              <w:jc w:val="left"/>
            </w:pPr>
            <w:r>
              <w:t xml:space="preserve">13 Jun 2025</w:t>
            </w:r>
          </w:p>
        </w:tc>
      </w:tr>
      <w:tr>
        <w:tc>
          <w:tcPr/>
          <w:p>
            <w:pPr>
              <w:pStyle w:val="Compact"/>
              <w:jc w:val="left"/>
            </w:pPr>
            <w:r>
              <w:t xml:space="preserve">4</w:t>
            </w:r>
          </w:p>
        </w:tc>
        <w:tc>
          <w:tcPr/>
          <w:p>
            <w:pPr>
              <w:pStyle w:val="Compact"/>
              <w:jc w:val="left"/>
            </w:pPr>
            <w:r>
              <w:rPr>
                <w:bCs/>
                <w:b/>
              </w:rPr>
              <w:t xml:space="preserve">Statistical Reporting &amp; Executive Presentation</w:t>
            </w:r>
            <w:r>
              <w:br/>
            </w:r>
            <w:r>
              <w:t xml:space="preserve">The Statistician prepared a 45-page technical report and delivered a 90-minute executive briefing to the Harbourview Analytics Group board. The report summarised all findings from this Invoice period, including visualisations, confidence intervals, and actionable recommendations tailored to the Australia Sydney market conditions.</w:t>
            </w:r>
          </w:p>
        </w:tc>
        <w:tc>
          <w:tcPr/>
          <w:p>
            <w:pPr>
              <w:pStyle w:val="Compact"/>
              <w:jc w:val="left"/>
            </w:pPr>
            <w:r>
              <w:t xml:space="preserve">$285.00</w:t>
            </w:r>
          </w:p>
        </w:tc>
        <w:tc>
          <w:tcPr/>
          <w:p>
            <w:pPr>
              <w:pStyle w:val="Compact"/>
              <w:jc w:val="left"/>
            </w:pPr>
            <w:r>
              <w:t xml:space="preserve">12.0</w:t>
            </w:r>
          </w:p>
        </w:tc>
        <w:tc>
          <w:tcPr/>
          <w:p>
            <w:pPr>
              <w:pStyle w:val="Compact"/>
              <w:jc w:val="left"/>
            </w:pPr>
            <w:r>
              <w:t xml:space="preserve">$3,420.00</w:t>
            </w:r>
          </w:p>
        </w:tc>
        <w:tc>
          <w:tcPr/>
          <w:p>
            <w:pPr>
              <w:pStyle w:val="Compact"/>
              <w:jc w:val="left"/>
            </w:pPr>
            <w:r>
              <w:t xml:space="preserve">14 Jun 2025</w:t>
            </w:r>
          </w:p>
        </w:tc>
      </w:tr>
      <w:tr>
        <w:tc>
          <w:tcPr/>
          <w:p>
            <w:pPr>
              <w:pStyle w:val="Compact"/>
              <w:jc w:val="left"/>
            </w:pPr>
            <w:r>
              <w:t xml:space="preserve">5</w:t>
            </w:r>
          </w:p>
        </w:tc>
        <w:tc>
          <w:tcPr/>
          <w:p>
            <w:pPr>
              <w:pStyle w:val="Compact"/>
              <w:jc w:val="left"/>
            </w:pPr>
            <w:r>
              <w:rPr>
                <w:bCs/>
                <w:b/>
              </w:rPr>
              <w:t xml:space="preserve">Software Licensing &amp; Computational Resources</w:t>
            </w:r>
            <w:r>
              <w:br/>
            </w:r>
            <w:r>
              <w:t xml:space="preserve">Reimbursement for high-performance computing cluster access and licensed statistical software (SAS Enterprise, Stata 18) used during the Statistician's engagement. All computational work was executed on servers located in the Australia Sydney data centre to comply with local data sovereignty regulations.</w:t>
            </w:r>
          </w:p>
        </w:tc>
        <w:tc>
          <w:tcPr/>
          <w:p>
            <w:pPr>
              <w:pStyle w:val="Compact"/>
              <w:jc w:val="left"/>
            </w:pPr>
            <w:r>
              <w:t xml:space="preserve">—</w:t>
            </w:r>
          </w:p>
        </w:tc>
        <w:tc>
          <w:tcPr/>
          <w:p>
            <w:pPr>
              <w:pStyle w:val="Compact"/>
              <w:jc w:val="left"/>
            </w:pPr>
            <w:r>
              <w:t xml:space="preserve">—</w:t>
            </w:r>
          </w:p>
        </w:tc>
        <w:tc>
          <w:tcPr/>
          <w:p>
            <w:pPr>
              <w:pStyle w:val="Compact"/>
              <w:jc w:val="left"/>
            </w:pPr>
            <w:r>
              <w:t xml:space="preserve">$1,275.00</w:t>
            </w:r>
          </w:p>
        </w:tc>
        <w:tc>
          <w:tcPr/>
          <w:p>
            <w:pPr>
              <w:pStyle w:val="Compact"/>
              <w:jc w:val="left"/>
            </w:pPr>
            <w:r>
              <w:t xml:space="preserve">02 Jun – 14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$25,215.00</w:t>
            </w:r>
          </w:p>
        </w:tc>
      </w:tr>
      <w:tr>
        <w:tc>
          <w:tcPr/>
          <w:p>
            <w:pPr>
              <w:pStyle w:val="Compact"/>
              <w:jc w:val="left"/>
            </w:pPr>
            <w:r>
              <w:t xml:space="preserve">GST @ 10% (AUD)</w:t>
            </w:r>
          </w:p>
        </w:tc>
        <w:tc>
          <w:tcPr/>
          <w:p>
            <w:pPr>
              <w:pStyle w:val="Compact"/>
              <w:jc w:val="right"/>
            </w:pPr>
            <w:r>
              <w:t xml:space="preserve">$2,521.50</w:t>
            </w:r>
          </w:p>
        </w:tc>
      </w:tr>
      <w:tr>
        <w:tc>
          <w:tcPr/>
          <w:p>
            <w:pPr>
              <w:pStyle w:val="Compact"/>
              <w:jc w:val="left"/>
            </w:pPr>
            <w:r>
              <w:t xml:space="preserve">Total Amount Due (AUD)</w:t>
            </w:r>
          </w:p>
        </w:tc>
        <w:tc>
          <w:tcPr/>
          <w:p>
            <w:pPr>
              <w:pStyle w:val="Compact"/>
              <w:jc w:val="right"/>
            </w:pPr>
            <w:r>
              <w:t xml:space="preserve">$27,736.50</w:t>
            </w:r>
          </w:p>
        </w:tc>
      </w:tr>
    </w:tbl>
    <w:bookmarkStart w:id="22" w:name="payment-terms-notes"/>
    <w:p>
      <w:pPr>
        <w:pStyle w:val="Heading4"/>
      </w:pPr>
      <w:r>
        <w:t xml:space="preserve">Payment Terms &amp; Notes</w:t>
      </w:r>
    </w:p>
    <w:p>
      <w:pPr>
        <w:pStyle w:val="FirstParagraph"/>
      </w:pPr>
      <w:r>
        <w:t xml:space="preserve">This Invoice is payable within thirty (30) calendar days of the Invoice date via bank transfer to the account detailed below. Please reference Invoice Number INV-2025-04782 in your payment remittance. Late payments will incur interest at the rate prescribed under the Australian Consumer Law and the Competition and Consumer Act 2010 (Cth).</w:t>
      </w:r>
    </w:p>
    <w:p>
      <w:pPr>
        <w:pStyle w:val="BodyText"/>
      </w:pPr>
      <w:r>
        <w:rPr>
          <w:bCs/>
          <w:b/>
        </w:rPr>
        <w:t xml:space="preserve">Bank Details:</w:t>
      </w:r>
      <w:r>
        <w:t xml:space="preserve"> </w:t>
      </w:r>
      <w:r>
        <w:t xml:space="preserve">Whitfield Statistical Consulting Pty Ltd | BSB: 062-000 | Account: 1234 5678 | Bank: Commonwealth Bank of Australia, Sydney CBD Branch.</w:t>
      </w:r>
    </w:p>
    <w:p>
      <w:pPr>
        <w:pStyle w:val="BodyText"/>
      </w:pPr>
      <w:r>
        <w:t xml:space="preserve">All services rendered by the Statistician are governed by the professional engagement agreement dated 28 May 2025. The Statistician warrants that all statistical methodologies applied conform to the Australian Statistical Standards and the guidelines published by the Australian Bureau of Statistics (ABS). This Invoice constitutes the final and complete statement of charges for the period 2 June 2025 through 14 June 2025.</w:t>
      </w:r>
    </w:p>
    <w:p>
      <w:pPr>
        <w:pStyle w:val="BodyText"/>
      </w:pPr>
      <w:r>
        <w:t xml:space="preserve">Should you require a revised Invoice, a detailed itemised breakdown, or a certificate of completion for the Statistician's services, please contact the undersigned within fourteen (14) days of receipt. All disputes shall be resolved under the jurisdiction of the courts of New South Wales, Australia Sydney.</w:t>
      </w:r>
    </w:p>
    <w:bookmarkEnd w:id="22"/>
    <w:p>
      <w:pPr>
        <w:pStyle w:val="BodyText"/>
      </w:pPr>
      <w:r>
        <w:rPr>
          <w:bCs/>
          <w:b/>
        </w:rPr>
        <w:t xml:space="preserve">Whitfield Statistical Consulting Pty Ltd</w:t>
      </w:r>
      <w:r>
        <w:t xml:space="preserve"> </w:t>
      </w:r>
      <w:r>
        <w:t xml:space="preserve">| ABN 48 217 934 561 | Sydney, NSW 2000, Australia</w:t>
      </w:r>
    </w:p>
    <w:p>
      <w:pPr>
        <w:pStyle w:val="BodyText"/>
      </w:pPr>
      <w:r>
        <w:t xml:space="preserve">This Invoice was generated electronically and is valid without a physical signature. The Statistician, Dr. Eleanor Whitfield, is a registered member of the Australian Statistical Association (ASA) and holds a Doctorate in Applied Statistics from the University of Sydney.</w:t>
      </w:r>
    </w:p>
    <w:p>
      <w:pPr>
        <w:pStyle w:val="BodyText"/>
      </w:pPr>
      <w:r>
        <w:t xml:space="preserve">Thank you for engaging our statistical expertise in Australia Sydney.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Australia Sydney</dc:title>
  <dc:creator/>
  <dc:language>en</dc:language>
  <cp:keywords/>
  <dcterms:created xsi:type="dcterms:W3CDTF">2026-10-10T04:12:31Z</dcterms:created>
  <dcterms:modified xsi:type="dcterms:W3CDTF">2026-10-10T04:12:31Z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