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Statistical</w:t>
      </w:r>
      <w:r>
        <w:t xml:space="preserve"> </w:t>
      </w:r>
      <w:r>
        <w:t xml:space="preserve">Consulting</w:t>
      </w:r>
      <w:r>
        <w:t xml:space="preserve"> </w:t>
      </w:r>
      <w:r>
        <w:t xml:space="preserve">Services</w:t>
      </w:r>
      <w:r>
        <w:t xml:space="preserve"> </w:t>
      </w:r>
      <w:r>
        <w:t xml:space="preserve">-</w:t>
      </w:r>
      <w:r>
        <w:t xml:space="preserve"> </w:t>
      </w:r>
      <w:r>
        <w:t xml:space="preserve">France</w:t>
      </w:r>
      <w:r>
        <w:t xml:space="preserve"> </w:t>
      </w:r>
      <w:r>
        <w:t xml:space="preserve">Marseille</w:t>
      </w:r>
    </w:p>
    <w:bookmarkStart w:id="20" w:name="invoice"/>
    <w:p>
      <w:pPr>
        <w:pStyle w:val="Heading1"/>
      </w:pPr>
      <w:r>
        <w:t xml:space="preserve">INVOICE</w:t>
      </w:r>
    </w:p>
    <w:p>
      <w:pPr>
        <w:pStyle w:val="FirstParagraph"/>
      </w:pPr>
      <w:r>
        <w:t xml:space="preserve">Statistical Consulting &amp; Data Analysis Services — France Marseille</w:t>
      </w:r>
    </w:p>
    <w:p>
      <w:pPr>
        <w:pStyle w:val="BodyText"/>
      </w:pPr>
      <w:r>
        <w:t xml:space="preserve">INVOICE NO: FR-MRS-2025-0047</w:t>
      </w:r>
    </w:p>
    <w:bookmarkEnd w:id="20"/>
    <w:bookmarkStart w:id="21" w:name="issued-by-statistician"/>
    <w:p>
      <w:pPr>
        <w:pStyle w:val="Heading3"/>
      </w:pPr>
      <w:r>
        <w:t xml:space="preserve">Issued By (Statistician)</w:t>
      </w:r>
    </w:p>
    <w:p>
      <w:pPr>
        <w:pStyle w:val="FirstParagraph"/>
      </w:pPr>
      <w:r>
        <w:rPr>
          <w:bCs/>
          <w:b/>
        </w:rPr>
        <w:t xml:space="preserve">Dr. Claire Fontaine, Ph.D.</w:t>
      </w:r>
    </w:p>
    <w:p>
      <w:pPr>
        <w:pStyle w:val="BodyText"/>
      </w:pPr>
      <w:r>
        <w:t xml:space="preserve">Lead Statistician &amp; Data Analyst</w:t>
      </w:r>
    </w:p>
    <w:p>
      <w:pPr>
        <w:pStyle w:val="BodyText"/>
      </w:pPr>
      <w:r>
        <w:t xml:space="preserve">Fontaine Statistical Consulting SARL</w:t>
      </w:r>
    </w:p>
    <w:p>
      <w:pPr>
        <w:pStyle w:val="BodyText"/>
      </w:pPr>
      <w:r>
        <w:t xml:space="preserve">142 Boulevard Longchamp</w:t>
      </w:r>
    </w:p>
    <w:p>
      <w:pPr>
        <w:pStyle w:val="BodyText"/>
      </w:pPr>
      <w:r>
        <w:t xml:space="preserve">13001 Marseille, France</w:t>
      </w:r>
    </w:p>
    <w:p>
      <w:pPr>
        <w:pStyle w:val="BodyText"/>
      </w:pPr>
      <w:r>
        <w:t xml:space="preserve">Tel: +33 4 91 23 45 67</w:t>
      </w:r>
    </w:p>
    <w:p>
      <w:pPr>
        <w:pStyle w:val="BodyText"/>
      </w:pPr>
      <w:r>
        <w:t xml:space="preserve">Email: c.fontaine@fontaine-stats.fr</w:t>
      </w:r>
    </w:p>
    <w:p>
      <w:pPr>
        <w:pStyle w:val="BodyText"/>
      </w:pPr>
      <w:r>
        <w:t xml:space="preserve">SIRET: 892 456 789 00012</w:t>
      </w:r>
    </w:p>
    <w:p>
      <w:pPr>
        <w:pStyle w:val="BodyText"/>
      </w:pPr>
      <w:r>
        <w:t xml:space="preserve">VAT (TVA): FR 45 892456789</w:t>
      </w:r>
    </w:p>
    <w:bookmarkEnd w:id="21"/>
    <w:bookmarkStart w:id="22" w:name="billed-to"/>
    <w:p>
      <w:pPr>
        <w:pStyle w:val="Heading3"/>
      </w:pPr>
      <w:r>
        <w:t xml:space="preserve">Billed To</w:t>
      </w:r>
    </w:p>
    <w:p>
      <w:pPr>
        <w:pStyle w:val="FirstParagraph"/>
      </w:pPr>
      <w:r>
        <w:rPr>
          <w:bCs/>
          <w:b/>
        </w:rPr>
        <w:t xml:space="preserve">Provence Biomedical Research Institute</w:t>
      </w:r>
    </w:p>
    <w:p>
      <w:pPr>
        <w:pStyle w:val="BodyText"/>
      </w:pPr>
      <w:r>
        <w:t xml:space="preserve">Attn: Dr. Laurent Moreau, Director</w:t>
      </w:r>
    </w:p>
    <w:p>
      <w:pPr>
        <w:pStyle w:val="BodyText"/>
      </w:pPr>
      <w:r>
        <w:t xml:space="preserve">27 Rue Sainte-Victoire</w:t>
      </w:r>
    </w:p>
    <w:p>
      <w:pPr>
        <w:pStyle w:val="BodyText"/>
      </w:pPr>
      <w:r>
        <w:t xml:space="preserve">13006 Marseille, France</w:t>
      </w:r>
    </w:p>
    <w:p>
      <w:pPr>
        <w:pStyle w:val="BodyText"/>
      </w:pPr>
      <w:r>
        <w:t xml:space="preserve">Tel: +33 4 91 55 66 77</w:t>
      </w:r>
    </w:p>
    <w:p>
      <w:pPr>
        <w:pStyle w:val="BodyText"/>
      </w:pPr>
      <w:r>
        <w:t xml:space="preserve">Email: l.moreau@pbri.fr</w:t>
      </w:r>
    </w:p>
    <w:bookmarkEnd w:id="22"/>
    <w:bookmarkStart w:id="23" w:name="invoice-details"/>
    <w:p>
      <w:pPr>
        <w:pStyle w:val="Heading3"/>
      </w:pPr>
      <w:r>
        <w:t xml:space="preserve">Invoice Details</w:t>
      </w:r>
    </w:p>
    <w:p>
      <w:pPr>
        <w:pStyle w:val="FirstParagraph"/>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 (30 days)</w:t>
      </w:r>
    </w:p>
    <w:p>
      <w:pPr>
        <w:pStyle w:val="BodyText"/>
      </w:pPr>
      <w:r>
        <w:rPr>
          <w:bCs/>
          <w:b/>
        </w:rPr>
        <w:t xml:space="preserve">Project Reference:</w:t>
      </w:r>
      <w:r>
        <w:t xml:space="preserve"> </w:t>
      </w:r>
      <w:r>
        <w:t xml:space="preserve">PBRI-STAT-2025-Q2</w:t>
      </w:r>
    </w:p>
    <w:p>
      <w:pPr>
        <w:pStyle w:val="BodyText"/>
      </w:pPr>
      <w:r>
        <w:rPr>
          <w:bCs/>
          <w:b/>
        </w:rPr>
        <w:t xml:space="preserve">Service Period:</w:t>
      </w:r>
      <w:r>
        <w:t xml:space="preserve"> </w:t>
      </w:r>
      <w:r>
        <w:t xml:space="preserve">01 April 2025 – 31 May 2025</w:t>
      </w:r>
    </w:p>
    <w:p>
      <w:pPr>
        <w:pStyle w:val="BodyText"/>
      </w:pPr>
      <w:r>
        <w:rPr>
          <w:bCs/>
          <w:b/>
        </w:rPr>
        <w:t xml:space="preserve">Currency:</w:t>
      </w:r>
      <w:r>
        <w:t xml:space="preserve"> </w:t>
      </w:r>
      <w:r>
        <w:t xml:space="preserve">EUR (€)</w:t>
      </w:r>
    </w:p>
    <w:bookmarkEnd w:id="23"/>
    <w:bookmarkStart w:id="24" w:name="payment-method"/>
    <w:p>
      <w:pPr>
        <w:pStyle w:val="Heading3"/>
      </w:pPr>
      <w:r>
        <w:t xml:space="preserve">Payment Method</w:t>
      </w:r>
    </w:p>
    <w:p>
      <w:pPr>
        <w:pStyle w:val="FirstParagraph"/>
      </w:pPr>
      <w:r>
        <w:rPr>
          <w:bCs/>
          <w:b/>
        </w:rPr>
        <w:t xml:space="preserve">Bank Transfer (Virement)</w:t>
      </w:r>
    </w:p>
    <w:p>
      <w:pPr>
        <w:pStyle w:val="BodyText"/>
      </w:pPr>
      <w:r>
        <w:t xml:space="preserve">IBAN: FR76 3000 4000 0312 3456 7890 189</w:t>
      </w:r>
    </w:p>
    <w:p>
      <w:pPr>
        <w:pStyle w:val="BodyText"/>
      </w:pPr>
      <w:r>
        <w:t xml:space="preserve">BIC/SWIFT: BNPAFRPPXXX</w:t>
      </w:r>
    </w:p>
    <w:p>
      <w:pPr>
        <w:pStyle w:val="BodyText"/>
      </w:pPr>
      <w:r>
        <w:t xml:space="preserve">Bank: Banque Populaire du Sud</w:t>
      </w:r>
    </w:p>
    <w:p>
      <w:pPr>
        <w:pStyle w:val="BodyText"/>
      </w:pPr>
      <w:r>
        <w:t xml:space="preserve">Marseille, France</w:t>
      </w:r>
    </w:p>
    <w:bookmarkEnd w:id="24"/>
    <w:bookmarkStart w:id="26" w:name="X02b277bd42330168e31b076c31c88fed5d148e4"/>
    <w:p>
      <w:pPr>
        <w:pStyle w:val="Heading2"/>
      </w:pPr>
      <w:r>
        <w:t xml:space="preserve">Description of Statistical Services Rendered</w:t>
      </w:r>
    </w:p>
    <w:p>
      <w:pPr>
        <w:pStyle w:val="FirstParagraph"/>
      </w:pPr>
      <w:r>
        <w:t xml:space="preserve">This Invoice is issued by Dr. Claire Fontaine, a certified Statistician operating in France Marseille, in accordance with the professional services agreement signed on 28 March 2025 between Fontaine Statistical Consulting SARL and the Provence Biomedical Research Institute. The following line items detail the statistical consulting, data analysis, and methodological support services provided during the billing period.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Hours</w:t>
            </w:r>
          </w:p>
        </w:tc>
        <w:tc>
          <w:tcPr/>
          <w:p>
            <w:pPr>
              <w:pStyle w:val="Compact"/>
              <w:jc w:val="left"/>
            </w:pPr>
            <w:r>
              <w:t xml:space="preserve">Rate (€/hr)</w:t>
            </w:r>
          </w:p>
        </w:tc>
        <w:tc>
          <w:tcPr/>
          <w:p>
            <w:pPr>
              <w:pStyle w:val="Compact"/>
              <w:jc w:val="left"/>
            </w:pPr>
            <w:r>
              <w:t xml:space="preserve">Amount (€)</w:t>
            </w:r>
          </w:p>
        </w:tc>
        <w:tc>
          <w:tcPr/>
          <w:p>
            <w:pPr>
              <w:pStyle w:val="Compact"/>
              <w:jc w:val="left"/>
            </w:pPr>
            <w:r>
              <w:t xml:space="preserve">VAT</w:t>
            </w:r>
          </w:p>
        </w:tc>
      </w:tr>
      <w:tr>
        <w:tc>
          <w:tcPr/>
          <w:p>
            <w:pPr>
              <w:pStyle w:val="Compact"/>
              <w:jc w:val="left"/>
            </w:pPr>
            <w:r>
              <w:t xml:space="preserve">01</w:t>
            </w:r>
          </w:p>
        </w:tc>
        <w:tc>
          <w:tcPr/>
          <w:p>
            <w:pPr>
              <w:pStyle w:val="Compact"/>
              <w:jc w:val="left"/>
            </w:pPr>
            <w:r>
              <w:t xml:space="preserve">Design and implementation of a multivariate statistical model for clinical trial data analysis, including power analysis and sample size determination for the Phase II oncology study conducted in France Marseille.</w:t>
            </w:r>
          </w:p>
        </w:tc>
        <w:tc>
          <w:tcPr/>
          <w:p>
            <w:pPr>
              <w:pStyle w:val="Compact"/>
              <w:jc w:val="left"/>
            </w:pPr>
            <w:r>
              <w:t xml:space="preserve">48</w:t>
            </w:r>
          </w:p>
        </w:tc>
        <w:tc>
          <w:tcPr/>
          <w:p>
            <w:pPr>
              <w:pStyle w:val="Compact"/>
              <w:jc w:val="left"/>
            </w:pPr>
            <w:r>
              <w:t xml:space="preserve">120.00</w:t>
            </w:r>
          </w:p>
        </w:tc>
        <w:tc>
          <w:tcPr/>
          <w:p>
            <w:pPr>
              <w:pStyle w:val="Compact"/>
              <w:jc w:val="left"/>
            </w:pPr>
            <w:r>
              <w:t xml:space="preserve">5,760.00</w:t>
            </w:r>
          </w:p>
        </w:tc>
        <w:tc>
          <w:tcPr/>
          <w:p>
            <w:pPr>
              <w:pStyle w:val="Compact"/>
              <w:jc w:val="left"/>
            </w:pPr>
            <w:r>
              <w:t xml:space="preserve">20%</w:t>
            </w:r>
          </w:p>
        </w:tc>
      </w:tr>
      <w:tr>
        <w:tc>
          <w:tcPr/>
          <w:p>
            <w:pPr>
              <w:pStyle w:val="Compact"/>
              <w:jc w:val="left"/>
            </w:pPr>
            <w:r>
              <w:t xml:space="preserve">02</w:t>
            </w:r>
          </w:p>
        </w:tc>
        <w:tc>
          <w:tcPr/>
          <w:p>
            <w:pPr>
              <w:pStyle w:val="Compact"/>
              <w:jc w:val="left"/>
            </w:pPr>
            <w:r>
              <w:t xml:space="preserve">Statistical consulting session (on-site, Marseille) with the research team to review interim data, discuss Bayesian vs. frequentist approaches, and recommend adaptive trial design modifications.</w:t>
            </w:r>
          </w:p>
        </w:tc>
        <w:tc>
          <w:tcPr/>
          <w:p>
            <w:pPr>
              <w:pStyle w:val="Compact"/>
              <w:jc w:val="left"/>
            </w:pPr>
            <w:r>
              <w:t xml:space="preserve">12</w:t>
            </w:r>
          </w:p>
        </w:tc>
        <w:tc>
          <w:tcPr/>
          <w:p>
            <w:pPr>
              <w:pStyle w:val="Compact"/>
              <w:jc w:val="left"/>
            </w:pPr>
            <w:r>
              <w:t xml:space="preserve">140.00</w:t>
            </w:r>
          </w:p>
        </w:tc>
        <w:tc>
          <w:tcPr/>
          <w:p>
            <w:pPr>
              <w:pStyle w:val="Compact"/>
              <w:jc w:val="left"/>
            </w:pPr>
            <w:r>
              <w:t xml:space="preserve">1,680.00</w:t>
            </w:r>
          </w:p>
        </w:tc>
        <w:tc>
          <w:tcPr/>
          <w:p>
            <w:pPr>
              <w:pStyle w:val="Compact"/>
              <w:jc w:val="left"/>
            </w:pPr>
            <w:r>
              <w:t xml:space="preserve">20%</w:t>
            </w:r>
          </w:p>
        </w:tc>
      </w:tr>
      <w:tr>
        <w:tc>
          <w:tcPr/>
          <w:p>
            <w:pPr>
              <w:pStyle w:val="Compact"/>
              <w:jc w:val="left"/>
            </w:pPr>
            <w:r>
              <w:t xml:space="preserve">03</w:t>
            </w:r>
          </w:p>
        </w:tc>
        <w:tc>
          <w:tcPr/>
          <w:p>
            <w:pPr>
              <w:pStyle w:val="Compact"/>
              <w:jc w:val="left"/>
            </w:pPr>
            <w:r>
              <w:t xml:space="preserve">Development of a comprehensive statistical analysis plan (SAP) document, including primary and secondary endpoint definitions, missing data handling strategies, and multiplicity adjustment procedures.</w:t>
            </w:r>
          </w:p>
        </w:tc>
        <w:tc>
          <w:tcPr/>
          <w:p>
            <w:pPr>
              <w:pStyle w:val="Compact"/>
              <w:jc w:val="left"/>
            </w:pPr>
            <w:r>
              <w:t xml:space="preserve">36</w:t>
            </w:r>
          </w:p>
        </w:tc>
        <w:tc>
          <w:tcPr/>
          <w:p>
            <w:pPr>
              <w:pStyle w:val="Compact"/>
              <w:jc w:val="left"/>
            </w:pPr>
            <w:r>
              <w:t xml:space="preserve">120.00</w:t>
            </w:r>
          </w:p>
        </w:tc>
        <w:tc>
          <w:tcPr/>
          <w:p>
            <w:pPr>
              <w:pStyle w:val="Compact"/>
              <w:jc w:val="left"/>
            </w:pPr>
            <w:r>
              <w:t xml:space="preserve">4,320.00</w:t>
            </w:r>
          </w:p>
        </w:tc>
        <w:tc>
          <w:tcPr/>
          <w:p>
            <w:pPr>
              <w:pStyle w:val="Compact"/>
              <w:jc w:val="left"/>
            </w:pPr>
            <w:r>
              <w:t xml:space="preserve">20%</w:t>
            </w:r>
          </w:p>
        </w:tc>
      </w:tr>
      <w:tr>
        <w:tc>
          <w:tcPr/>
          <w:p>
            <w:pPr>
              <w:pStyle w:val="Compact"/>
              <w:jc w:val="left"/>
            </w:pPr>
            <w:r>
              <w:t xml:space="preserve">04</w:t>
            </w:r>
          </w:p>
        </w:tc>
        <w:tc>
          <w:tcPr/>
          <w:p>
            <w:pPr>
              <w:pStyle w:val="Compact"/>
              <w:jc w:val="left"/>
            </w:pPr>
            <w:r>
              <w:t xml:space="preserve">Programming and execution of survival analysis (Cox proportional hazards, Kaplan-Meier estimation) using R and SAS for the longitudinal patient cohort dataset (n=1,240) collected across three hospitals in France Marseille.</w:t>
            </w:r>
          </w:p>
        </w:tc>
        <w:tc>
          <w:tcPr/>
          <w:p>
            <w:pPr>
              <w:pStyle w:val="Compact"/>
              <w:jc w:val="left"/>
            </w:pPr>
            <w:r>
              <w:t xml:space="preserve">40</w:t>
            </w:r>
          </w:p>
        </w:tc>
        <w:tc>
          <w:tcPr/>
          <w:p>
            <w:pPr>
              <w:pStyle w:val="Compact"/>
              <w:jc w:val="left"/>
            </w:pPr>
            <w:r>
              <w:t xml:space="preserve">120.00</w:t>
            </w:r>
          </w:p>
        </w:tc>
        <w:tc>
          <w:tcPr/>
          <w:p>
            <w:pPr>
              <w:pStyle w:val="Compact"/>
              <w:jc w:val="left"/>
            </w:pPr>
            <w:r>
              <w:t xml:space="preserve">4,800.00</w:t>
            </w:r>
          </w:p>
        </w:tc>
        <w:tc>
          <w:tcPr/>
          <w:p>
            <w:pPr>
              <w:pStyle w:val="Compact"/>
              <w:jc w:val="left"/>
            </w:pPr>
            <w:r>
              <w:t xml:space="preserve">20%</w:t>
            </w:r>
          </w:p>
        </w:tc>
      </w:tr>
      <w:tr>
        <w:tc>
          <w:tcPr/>
          <w:p>
            <w:pPr>
              <w:pStyle w:val="Compact"/>
              <w:jc w:val="left"/>
            </w:pPr>
            <w:r>
              <w:t xml:space="preserve">05</w:t>
            </w:r>
          </w:p>
        </w:tc>
        <w:tc>
          <w:tcPr/>
          <w:p>
            <w:pPr>
              <w:pStyle w:val="Compact"/>
              <w:jc w:val="left"/>
            </w:pPr>
            <w:r>
              <w:t xml:space="preserve">Preparation of statistical tables, figures, and visualisations for the final research report and submission to the French National Agency for Medicines and Health Products Safety (ANSM).</w:t>
            </w:r>
          </w:p>
        </w:tc>
        <w:tc>
          <w:tcPr/>
          <w:p>
            <w:pPr>
              <w:pStyle w:val="Compact"/>
              <w:jc w:val="left"/>
            </w:pPr>
            <w:r>
              <w:t xml:space="preserve">24</w:t>
            </w:r>
          </w:p>
        </w:tc>
        <w:tc>
          <w:tcPr/>
          <w:p>
            <w:pPr>
              <w:pStyle w:val="Compact"/>
              <w:jc w:val="left"/>
            </w:pPr>
            <w:r>
              <w:t xml:space="preserve">110.00</w:t>
            </w:r>
          </w:p>
        </w:tc>
        <w:tc>
          <w:tcPr/>
          <w:p>
            <w:pPr>
              <w:pStyle w:val="Compact"/>
              <w:jc w:val="left"/>
            </w:pPr>
            <w:r>
              <w:t xml:space="preserve">2,640.00</w:t>
            </w:r>
          </w:p>
        </w:tc>
        <w:tc>
          <w:tcPr/>
          <w:p>
            <w:pPr>
              <w:pStyle w:val="Compact"/>
              <w:jc w:val="left"/>
            </w:pPr>
            <w:r>
              <w:t xml:space="preserve">20%</w:t>
            </w:r>
          </w:p>
        </w:tc>
      </w:tr>
      <w:tr>
        <w:tc>
          <w:tcPr/>
          <w:p>
            <w:pPr>
              <w:pStyle w:val="Compact"/>
              <w:jc w:val="left"/>
            </w:pPr>
            <w:r>
              <w:t xml:space="preserve">06</w:t>
            </w:r>
          </w:p>
        </w:tc>
        <w:tc>
          <w:tcPr/>
          <w:p>
            <w:pPr>
              <w:pStyle w:val="Compact"/>
              <w:jc w:val="left"/>
            </w:pPr>
            <w:r>
              <w:t xml:space="preserve">Peer review and methodological validation of the Statistician's own preliminary findings, including sensitivity analyses, robustness checks, and documentation of all computational steps for reproducibility.</w:t>
            </w:r>
          </w:p>
        </w:tc>
        <w:tc>
          <w:tcPr/>
          <w:p>
            <w:pPr>
              <w:pStyle w:val="Compact"/>
              <w:jc w:val="left"/>
            </w:pPr>
            <w:r>
              <w:t xml:space="preserve">16</w:t>
            </w:r>
          </w:p>
        </w:tc>
        <w:tc>
          <w:tcPr/>
          <w:p>
            <w:pPr>
              <w:pStyle w:val="Compact"/>
              <w:jc w:val="left"/>
            </w:pPr>
            <w:r>
              <w:t xml:space="preserve">130.00</w:t>
            </w:r>
          </w:p>
        </w:tc>
        <w:tc>
          <w:tcPr/>
          <w:p>
            <w:pPr>
              <w:pStyle w:val="Compact"/>
              <w:jc w:val="left"/>
            </w:pPr>
            <w:r>
              <w:t xml:space="preserve">2,080.00</w:t>
            </w:r>
          </w:p>
        </w:tc>
        <w:tc>
          <w:tcPr/>
          <w:p>
            <w:pPr>
              <w:pStyle w:val="Compact"/>
              <w:jc w:val="left"/>
            </w:pPr>
            <w:r>
              <w:t xml:space="preserve">20%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(Hors Taxes)</w:t>
            </w:r>
          </w:p>
        </w:tc>
        <w:tc>
          <w:tcPr/>
          <w:p>
            <w:pPr>
              <w:pStyle w:val="Compact"/>
              <w:jc w:val="right"/>
            </w:pPr>
            <w:r>
              <w:t xml:space="preserve">€ 21,280.00</w:t>
            </w:r>
          </w:p>
        </w:tc>
      </w:tr>
      <w:tr>
        <w:tc>
          <w:tcPr/>
          <w:p>
            <w:pPr>
              <w:pStyle w:val="Compact"/>
              <w:jc w:val="left"/>
            </w:pPr>
            <w:r>
              <w:t xml:space="preserve">VAT / TVA (20%)</w:t>
            </w:r>
          </w:p>
        </w:tc>
        <w:tc>
          <w:tcPr/>
          <w:p>
            <w:pPr>
              <w:pStyle w:val="Compact"/>
              <w:jc w:val="right"/>
            </w:pPr>
            <w:r>
              <w:t xml:space="preserve">€ 4,256.00</w:t>
            </w:r>
          </w:p>
        </w:tc>
      </w:tr>
      <w:tr>
        <w:tc>
          <w:tcPr/>
          <w:p>
            <w:pPr>
              <w:pStyle w:val="Compact"/>
              <w:jc w:val="left"/>
            </w:pPr>
            <w:r>
              <w:t xml:space="preserve">Total Due (TTC)</w:t>
            </w:r>
          </w:p>
        </w:tc>
        <w:tc>
          <w:tcPr/>
          <w:p>
            <w:pPr>
              <w:pStyle w:val="Compact"/>
              <w:jc w:val="right"/>
            </w:pPr>
            <w:r>
              <w:t xml:space="preserve">€ 25,536.00</w:t>
            </w:r>
          </w:p>
        </w:tc>
      </w:tr>
    </w:tbl>
    <w:bookmarkStart w:id="25" w:name="terms-and-conditions-of-this-invoice"/>
    <w:p>
      <w:pPr>
        <w:pStyle w:val="Heading3"/>
      </w:pPr>
      <w:r>
        <w:t xml:space="preserve">Terms and Conditions of This Invoice</w:t>
      </w:r>
    </w:p>
    <w:p>
      <w:pPr>
        <w:numPr>
          <w:ilvl w:val="0"/>
          <w:numId w:val="1001"/>
        </w:numPr>
        <w:pStyle w:val="Compact"/>
      </w:pPr>
      <w:r>
        <w:t xml:space="preserve">This Invoice must be settled in full within thirty (30) calendar days of the issue date by bank transfer to the account specified above. Late payments shall accrue interest at the rate of 1.5% per month in accordance with French commercial law (Code de commerce, Article L441-10).</w:t>
      </w:r>
    </w:p>
    <w:p>
      <w:pPr>
        <w:numPr>
          <w:ilvl w:val="0"/>
          <w:numId w:val="1001"/>
        </w:numPr>
        <w:pStyle w:val="Compact"/>
      </w:pPr>
      <w:r>
        <w:t xml:space="preserve">All statistical work performed by the Statistician under this engagement is subject to strict confidentiality as defined in the Non-Disclosure Agreement (NDA) executed on 28 March 2025. No data, models, or analytical outputs shall be disclosed to third parties without written consent from the Provence Biomedical Research Institute.</w:t>
      </w:r>
    </w:p>
    <w:p>
      <w:pPr>
        <w:numPr>
          <w:ilvl w:val="0"/>
          <w:numId w:val="1001"/>
        </w:numPr>
        <w:pStyle w:val="Compact"/>
      </w:pPr>
      <w:r>
        <w:t xml:space="preserve">The Statistician warrants that all analyses, computations, and methodological recommendations contained in the deliverables referenced in this Invoice have been conducted in accordance with the standards set forth by the French Society of Biostatistics (Société Française de Biostatistique) and applicable European Union data protection regulations (GDPR / RGPD).</w:t>
      </w:r>
    </w:p>
    <w:p>
      <w:pPr>
        <w:numPr>
          <w:ilvl w:val="0"/>
          <w:numId w:val="1001"/>
        </w:numPr>
        <w:pStyle w:val="Compact"/>
      </w:pPr>
      <w:r>
        <w:t xml:space="preserve">Any dispute arising from this Invoice or the underlying services agreement shall be resolved by the competent courts of Marseille, France, in accordance with French civil and commercial law. The parties agree to attempt mediation before initiating any judicial proceedings.</w:t>
      </w:r>
    </w:p>
    <w:p>
      <w:pPr>
        <w:numPr>
          <w:ilvl w:val="0"/>
          <w:numId w:val="1001"/>
        </w:numPr>
        <w:pStyle w:val="Compact"/>
      </w:pPr>
      <w:r>
        <w:t xml:space="preserve">This Invoice constitutes the final and complete statement of charges for the services rendered during the period of 01 April 2025 to 31 May 2025. No additional fees shall be incurred beyond the amounts listed herein unless a written amendment to the services agreement is executed by both parties.</w:t>
      </w:r>
    </w:p>
    <w:p>
      <w:pPr>
        <w:numPr>
          <w:ilvl w:val="0"/>
          <w:numId w:val="1001"/>
        </w:numPr>
        <w:pStyle w:val="Compact"/>
      </w:pPr>
      <w:r>
        <w:t xml:space="preserve">Fontaine Statistical Consulting SARL is registered in the Trade and Companies Register (Registre du Commerce et des Sociétés) of Marseille under file number 892 456 789. The Statistician, Dr. Claire Fontaine, holds a Ph.D. in Applied Statistics from Aix-Marseille University and is a certified member of the French Statistical Society.</w:t>
      </w:r>
    </w:p>
    <w:bookmarkEnd w:id="25"/>
    <w:p>
      <w:pPr>
        <w:pStyle w:val="FirstParagraph"/>
      </w:pPr>
      <w:r>
        <w:rPr>
          <w:bCs/>
          <w:b/>
        </w:rPr>
        <w:t xml:space="preserve">Fontaine Statistical Consulting SARL</w:t>
      </w:r>
      <w:r>
        <w:t xml:space="preserve"> </w:t>
      </w:r>
      <w:r>
        <w:t xml:space="preserve">— 142 Boulevard Longchamp, 13001 Marseille, France</w:t>
      </w:r>
    </w:p>
    <w:p>
      <w:pPr>
        <w:pStyle w:val="BodyText"/>
      </w:pPr>
      <w:r>
        <w:t xml:space="preserve">SIRET: 892 456 789 00012 | TVA: FR 45 892456789 | RCS Marseille</w:t>
      </w:r>
    </w:p>
    <w:p>
      <w:pPr>
        <w:pStyle w:val="BodyText"/>
      </w:pPr>
      <w:r>
        <w:t xml:space="preserve">Thank you for your business. This Invoice was generated electronically and is valid without signature in accordance with French electronic invoicing regulations (Facturation électronique).</w:t>
      </w:r>
    </w:p>
    <w:p>
      <w:pPr>
        <w:pStyle w:val="BodyText"/>
      </w:pPr>
      <w:r>
        <w:t xml:space="preserve">© 2025 Fontaine Statistical Consulting SARL. All rights reserved. France Marseille.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Statistical Consulting Services - France Marseille</dc:title>
  <dc:creator/>
  <dc:language>en</dc:language>
  <cp:keywords/>
  <dcterms:created xsi:type="dcterms:W3CDTF">2026-10-10T05:48:52Z</dcterms:created>
  <dcterms:modified xsi:type="dcterms:W3CDTF">2026-10-10T05:48:52Z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