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dr.-émile-laurent-statistician"/>
    <w:p>
      <w:pPr>
        <w:pStyle w:val="Heading1"/>
      </w:pPr>
      <w:r>
        <w:t xml:space="preserve">Dr. Émile Laurent, Statistician</w:t>
      </w:r>
    </w:p>
    <w:p>
      <w:pPr>
        <w:pStyle w:val="FirstParagraph"/>
      </w:pPr>
      <w:r>
        <w:t xml:space="preserve">Quantitative Analysis &amp; Data Science Consulting</w:t>
      </w:r>
    </w:p>
    <w:p>
      <w:pPr>
        <w:pStyle w:val="BodyText"/>
      </w:pPr>
      <w:r>
        <w:t xml:space="preserve">14 Rue de la Bourse, 75002 Paris, France</w:t>
      </w:r>
    </w:p>
    <w:p>
      <w:pPr>
        <w:pStyle w:val="BodyText"/>
      </w:pPr>
      <w:r>
        <w:t xml:space="preserve">Tel: +33 1 42 60 38 72 | Email: e.laurent@statparis.fr</w:t>
      </w:r>
    </w:p>
    <w:p>
      <w:pPr>
        <w:pStyle w:val="BodyText"/>
      </w:pPr>
      <w:r>
        <w:t xml:space="preserve">SIRET: 847 293 615 00021 | TVA Intracommunautaire: FR 42 847293615</w:t>
      </w:r>
    </w:p>
    <w:bookmarkEnd w:id="20"/>
    <w:bookmarkStart w:id="21" w:name="invoice"/>
    <w:p>
      <w:pPr>
        <w:pStyle w:val="Heading2"/>
      </w:pPr>
      <w:r>
        <w:t xml:space="preserve">INVOICE</w:t>
      </w:r>
    </w:p>
    <w:p>
      <w:pPr>
        <w:pStyle w:val="FirstParagraph"/>
      </w:pPr>
      <w:r>
        <w:t xml:space="preserve">Facture N° 2025-0347</w:t>
      </w:r>
    </w:p>
    <w:p>
      <w:pPr>
        <w:pStyle w:val="BodyText"/>
      </w:pPr>
      <w:r>
        <w:t xml:space="preserve">Date d'émission: 15 June 2025</w:t>
      </w:r>
    </w:p>
    <w:bookmarkEnd w:id="21"/>
    <w:bookmarkStart w:id="22" w:name="billed-to-client"/>
    <w:p>
      <w:pPr>
        <w:pStyle w:val="Heading3"/>
      </w:pPr>
      <w:r>
        <w:t xml:space="preserve">Billed To (Client)</w:t>
      </w:r>
    </w:p>
    <w:p>
      <w:pPr>
        <w:pStyle w:val="FirstParagraph"/>
      </w:pPr>
      <w:r>
        <w:rPr>
          <w:bCs/>
          <w:b/>
        </w:rPr>
        <w:t xml:space="preserve">Société de Recherche Biomédicale SA</w:t>
      </w:r>
    </w:p>
    <w:p>
      <w:pPr>
        <w:pStyle w:val="BodyText"/>
      </w:pPr>
      <w:r>
        <w:t xml:space="preserve">48 Avenue de l'Opéra</w:t>
      </w:r>
    </w:p>
    <w:p>
      <w:pPr>
        <w:pStyle w:val="BodyText"/>
      </w:pPr>
      <w:r>
        <w:t xml:space="preserve">75009 Paris, France</w:t>
      </w:r>
    </w:p>
    <w:p>
      <w:pPr>
        <w:pStyle w:val="BodyText"/>
      </w:pPr>
      <w:r>
        <w:t xml:space="preserve">SIRET: 512 847 392 00014</w:t>
      </w:r>
    </w:p>
    <w:p>
      <w:pPr>
        <w:pStyle w:val="BodyText"/>
      </w:pPr>
      <w:r>
        <w:t xml:space="preserve">Attention: Dr. Sophie Marchand, Director of Research</w:t>
      </w:r>
    </w:p>
    <w:p>
      <w:pPr>
        <w:pStyle w:val="BodyText"/>
      </w:pPr>
      <w:r>
        <w:t xml:space="preserve">Email: s.marchand@biomed-recherche.fr</w:t>
      </w:r>
    </w:p>
    <w:bookmarkEnd w:id="22"/>
    <w:bookmarkStart w:id="23" w:name="service-provider"/>
    <w:p>
      <w:pPr>
        <w:pStyle w:val="Heading3"/>
      </w:pPr>
      <w:r>
        <w:t xml:space="preserve">Service Provider</w:t>
      </w:r>
    </w:p>
    <w:p>
      <w:pPr>
        <w:pStyle w:val="FirstParagraph"/>
      </w:pPr>
      <w:r>
        <w:rPr>
          <w:bCs/>
          <w:b/>
        </w:rPr>
        <w:t xml:space="preserve">Dr. Émile Laurent</w:t>
      </w:r>
    </w:p>
    <w:p>
      <w:pPr>
        <w:pStyle w:val="BodyText"/>
      </w:pPr>
      <w:r>
        <w:t xml:space="preserve">Independent Statistician &amp; Data Analyst</w:t>
      </w:r>
    </w:p>
    <w:p>
      <w:pPr>
        <w:pStyle w:val="BodyText"/>
      </w:pPr>
      <w:r>
        <w:t xml:space="preserve">14 Rue de la Bourse</w:t>
      </w:r>
    </w:p>
    <w:p>
      <w:pPr>
        <w:pStyle w:val="BodyText"/>
      </w:pPr>
      <w:r>
        <w:t xml:space="preserve">75002 Paris, France</w:t>
      </w:r>
    </w:p>
    <w:p>
      <w:pPr>
        <w:pStyle w:val="BodyText"/>
      </w:pPr>
      <w:r>
        <w:t xml:space="preserve">Specialization: Biostatistics, Clinical Trial Design, Predictive Modeling</w:t>
      </w:r>
    </w:p>
    <w:p>
      <w:pPr>
        <w:pStyle w:val="BodyText"/>
      </w:pPr>
      <w:r>
        <w:t xml:space="preserve">Member: Société Française de Statistique (SFS)</w:t>
      </w:r>
    </w:p>
    <w:bookmarkEnd w:id="23"/>
    <w:p>
      <w:pPr>
        <w:pStyle w:val="BodyText"/>
      </w:pPr>
      <w:r>
        <w:rPr>
          <w:bCs/>
          <w:b/>
        </w:rPr>
        <w:t xml:space="preserve">Invoice Number:</w:t>
      </w:r>
      <w:r>
        <w:t xml:space="preserve"> </w:t>
      </w:r>
      <w:r>
        <w:t xml:space="preserve">2025-0347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Payment Method:</w:t>
      </w:r>
      <w:r>
        <w:t xml:space="preserve"> </w:t>
      </w:r>
      <w:r>
        <w:t xml:space="preserve">Bank Transfer (Virement)</w:t>
      </w:r>
    </w:p>
    <w:p>
      <w:pPr>
        <w:pStyle w:val="BodyText"/>
      </w:pPr>
      <w:r>
        <w:rPr>
          <w:bCs/>
          <w:b/>
        </w:rPr>
        <w:t xml:space="preserve">Reference:</w:t>
      </w:r>
      <w:r>
        <w:t xml:space="preserve"> </w:t>
      </w:r>
      <w:r>
        <w:t xml:space="preserve">Contract N° BR-2025-089</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Statistical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Design and statistical planning of a Phase III randomized controlled clinical trial for a novel cardiovascular therapeutic agent. Includes sample size determination, power analysis, allocation ratio optimization, and interim analysis protocol development conducted in Paris, France.</w:t>
            </w:r>
          </w:p>
        </w:tc>
        <w:tc>
          <w:tcPr/>
          <w:p>
            <w:pPr>
              <w:pStyle w:val="Compact"/>
              <w:jc w:val="left"/>
            </w:pPr>
            <w:r>
              <w:t xml:space="preserve">42</w:t>
            </w:r>
          </w:p>
        </w:tc>
        <w:tc>
          <w:tcPr/>
          <w:p>
            <w:pPr>
              <w:pStyle w:val="Compact"/>
              <w:jc w:val="left"/>
            </w:pPr>
            <w:r>
              <w:t xml:space="preserve">185.00</w:t>
            </w:r>
          </w:p>
        </w:tc>
        <w:tc>
          <w:tcPr/>
          <w:p>
            <w:pPr>
              <w:pStyle w:val="Compact"/>
              <w:jc w:val="left"/>
            </w:pPr>
            <w:r>
              <w:t xml:space="preserve">7,770.00</w:t>
            </w:r>
          </w:p>
        </w:tc>
      </w:tr>
      <w:tr>
        <w:tc>
          <w:tcPr/>
          <w:p>
            <w:pPr>
              <w:pStyle w:val="Compact"/>
              <w:jc w:val="left"/>
            </w:pPr>
            <w:r>
              <w:t xml:space="preserve">02</w:t>
            </w:r>
          </w:p>
        </w:tc>
        <w:tc>
          <w:tcPr/>
          <w:p>
            <w:pPr>
              <w:pStyle w:val="Compact"/>
              <w:jc w:val="left"/>
            </w:pPr>
            <w:r>
              <w:t xml:space="preserve">Development of a mixed-effects regression model for longitudinal biomarker data collected across three French clinical sites. The statistician performed model selection, diagnostic checking, sensitivity analyses, and produced a comprehensive statistical report for regulatory submission to ANSM (Agence Nationale de Sécurité du Médicament).</w:t>
            </w:r>
          </w:p>
        </w:tc>
        <w:tc>
          <w:tcPr/>
          <w:p>
            <w:pPr>
              <w:pStyle w:val="Compact"/>
              <w:jc w:val="left"/>
            </w:pPr>
            <w:r>
              <w:t xml:space="preserve">36</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03</w:t>
            </w:r>
          </w:p>
        </w:tc>
        <w:tc>
          <w:tcPr/>
          <w:p>
            <w:pPr>
              <w:pStyle w:val="Compact"/>
              <w:jc w:val="left"/>
            </w:pPr>
            <w:r>
              <w:t xml:space="preserve">Bayesian hierarchical modeling and predictive analytics for patient outcome forecasting. The statistician implemented Markov Chain Monte Carlo (MCMC) simulations, posterior probability calculations, and generated decision-support dashboards for the research team based in Paris.</w:t>
            </w:r>
          </w:p>
        </w:tc>
        <w:tc>
          <w:tcPr/>
          <w:p>
            <w:pPr>
              <w:pStyle w:val="Compact"/>
              <w:jc w:val="left"/>
            </w:pPr>
            <w:r>
              <w:t xml:space="preserve">28</w:t>
            </w:r>
          </w:p>
        </w:tc>
        <w:tc>
          <w:tcPr/>
          <w:p>
            <w:pPr>
              <w:pStyle w:val="Compact"/>
              <w:jc w:val="left"/>
            </w:pPr>
            <w:r>
              <w:t xml:space="preserve">185.00</w:t>
            </w:r>
          </w:p>
        </w:tc>
        <w:tc>
          <w:tcPr/>
          <w:p>
            <w:pPr>
              <w:pStyle w:val="Compact"/>
              <w:jc w:val="left"/>
            </w:pPr>
            <w:r>
              <w:t xml:space="preserve">5,180.00</w:t>
            </w:r>
          </w:p>
        </w:tc>
      </w:tr>
      <w:tr>
        <w:tc>
          <w:tcPr/>
          <w:p>
            <w:pPr>
              <w:pStyle w:val="Compact"/>
              <w:jc w:val="left"/>
            </w:pPr>
            <w:r>
              <w:t xml:space="preserve">04</w:t>
            </w:r>
          </w:p>
        </w:tc>
        <w:tc>
          <w:tcPr/>
          <w:p>
            <w:pPr>
              <w:pStyle w:val="Compact"/>
              <w:jc w:val="left"/>
            </w:pPr>
            <w:r>
              <w:t xml:space="preserve">Statistical review and validation of the clinical trial protocol, including verification of randomization procedures, blinding methodology, endpoint definitions, and multiplicity adjustment strategies. On-site consultation at the client's offices in the 9th arrondissement of Paris.</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05</w:t>
            </w:r>
          </w:p>
        </w:tc>
        <w:tc>
          <w:tcPr/>
          <w:p>
            <w:pPr>
              <w:pStyle w:val="Compact"/>
              <w:jc w:val="left"/>
            </w:pPr>
            <w:r>
              <w:t xml:space="preserve">Preparation of the statistical analysis plan (SAP) and final statistical report in compliance with ICH E9 guidelines and French pharmaceutical regulations. Includes peer review coordination with the Société Française de Statistique and formatting for submission to the European Medicines Agency (EMA).</w:t>
            </w:r>
          </w:p>
        </w:tc>
        <w:tc>
          <w:tcPr/>
          <w:p>
            <w:pPr>
              <w:pStyle w:val="Compact"/>
              <w:jc w:val="left"/>
            </w:pPr>
            <w:r>
              <w:t xml:space="preserve">24</w:t>
            </w:r>
          </w:p>
        </w:tc>
        <w:tc>
          <w:tcPr/>
          <w:p>
            <w:pPr>
              <w:pStyle w:val="Compact"/>
              <w:jc w:val="left"/>
            </w:pPr>
            <w:r>
              <w:t xml:space="preserve">185.00</w:t>
            </w:r>
          </w:p>
        </w:tc>
        <w:tc>
          <w:tcPr/>
          <w:p>
            <w:pPr>
              <w:pStyle w:val="Compact"/>
              <w:jc w:val="left"/>
            </w:pPr>
            <w:r>
              <w:t xml:space="preserve">4,440.00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27,010.00 EUR</w:t>
            </w:r>
          </w:p>
        </w:tc>
      </w:tr>
      <w:tr>
        <w:tc>
          <w:tcPr/>
          <w:p>
            <w:pPr>
              <w:pStyle w:val="Compact"/>
              <w:jc w:val="left"/>
            </w:pPr>
            <w:r>
              <w:t xml:space="preserve">TVA 20% (Valeur Ajoutée)</w:t>
            </w:r>
          </w:p>
        </w:tc>
        <w:tc>
          <w:tcPr/>
          <w:p>
            <w:pPr>
              <w:pStyle w:val="Compact"/>
              <w:jc w:val="left"/>
            </w:pPr>
            <w:r>
              <w:t xml:space="preserve">5,402.00 EUR</w:t>
            </w:r>
          </w:p>
        </w:tc>
      </w:tr>
      <w:tr>
        <w:tc>
          <w:tcPr/>
          <w:p>
            <w:pPr>
              <w:pStyle w:val="Compact"/>
              <w:jc w:val="left"/>
            </w:pPr>
            <w:r>
              <w:t xml:space="preserve">TOTAL DÛ (TTC)</w:t>
            </w:r>
          </w:p>
        </w:tc>
        <w:tc>
          <w:tcPr/>
          <w:p>
            <w:pPr>
              <w:pStyle w:val="Compact"/>
              <w:jc w:val="left"/>
            </w:pPr>
            <w:r>
              <w:t xml:space="preserve">32,412.00 EUR</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by bank transfer to the account specified below. In accordance with French commercial law (Code de commerce, Article L441-10), a late payment penalty of 3 times the legal interest rate (taux d'intérêt légal) shall apply to any overdue amount, in addition to a fixed indemnity of 40 EUR for recovery costs.</w:t>
      </w:r>
    </w:p>
    <w:p>
      <w:pPr>
        <w:numPr>
          <w:ilvl w:val="0"/>
          <w:numId w:val="1001"/>
        </w:numPr>
        <w:pStyle w:val="Compact"/>
      </w:pPr>
      <w:r>
        <w:rPr>
          <w:bCs/>
          <w:b/>
        </w:rPr>
        <w:t xml:space="preserve">Bank:</w:t>
      </w:r>
      <w:r>
        <w:t xml:space="preserve"> </w:t>
      </w:r>
      <w:r>
        <w:t xml:space="preserve">Société Générale, Paris La Défense</w:t>
      </w:r>
    </w:p>
    <w:p>
      <w:pPr>
        <w:numPr>
          <w:ilvl w:val="0"/>
          <w:numId w:val="1001"/>
        </w:numPr>
        <w:pStyle w:val="Compact"/>
      </w:pPr>
      <w:r>
        <w:rPr>
          <w:bCs/>
          <w:b/>
        </w:rPr>
        <w:t xml:space="preserve">IBAN:</w:t>
      </w:r>
      <w:r>
        <w:t xml:space="preserve"> </w:t>
      </w:r>
      <w:r>
        <w:t xml:space="preserve">FR76 3000 4000 0312 3456 7890 123</w:t>
      </w:r>
    </w:p>
    <w:p>
      <w:pPr>
        <w:numPr>
          <w:ilvl w:val="0"/>
          <w:numId w:val="1001"/>
        </w:numPr>
        <w:pStyle w:val="Compact"/>
      </w:pPr>
      <w:r>
        <w:rPr>
          <w:bCs/>
          <w:b/>
        </w:rPr>
        <w:t xml:space="preserve">BIC/SWIFT:</w:t>
      </w:r>
      <w:r>
        <w:t xml:space="preserve"> </w:t>
      </w:r>
      <w:r>
        <w:t xml:space="preserve">SOGEFRPP</w:t>
      </w:r>
    </w:p>
    <w:p>
      <w:pPr>
        <w:numPr>
          <w:ilvl w:val="0"/>
          <w:numId w:val="1001"/>
        </w:numPr>
        <w:pStyle w:val="Compact"/>
      </w:pPr>
      <w:r>
        <w:rPr>
          <w:bCs/>
          <w:b/>
        </w:rPr>
        <w:t xml:space="preserve">Reference to include:</w:t>
      </w:r>
      <w:r>
        <w:t xml:space="preserve"> </w:t>
      </w:r>
      <w:r>
        <w:t xml:space="preserve">INV-2025-0347 / BR-2025-089</w:t>
      </w:r>
    </w:p>
    <w:p>
      <w:pPr>
        <w:pStyle w:val="FirstParagraph"/>
      </w:pPr>
      <w:r>
        <w:t xml:space="preserve">All statistical work performed under this invoice was carried out by Dr. Émile Laurent, a qualified and independent statistician registered in Paris, France. The deliverables include all source code (R and Python), reproducible analysis scripts, and documented methodology in accordance with the French data protection regulations (RGPD / GDPR) and the client's internal data governance policies.</w:t>
      </w:r>
    </w:p>
    <w:p>
      <w:pPr>
        <w:pStyle w:val="BodyText"/>
      </w:pPr>
      <w:r>
        <w:t xml:space="preserve">This invoice constitutes a valid commercial document under French tax law (Code général des impôts, Article 286). A duplicate may be requested by contacting the statistician's office at the address above. This document is issued in the French Republic and governed by the laws of France.</w:t>
      </w:r>
    </w:p>
    <w:bookmarkEnd w:id="24"/>
    <w:p>
      <w:pPr>
        <w:pStyle w:val="BodyText"/>
      </w:pPr>
      <w:r>
        <w:rPr>
          <w:bCs/>
          <w:b/>
        </w:rPr>
        <w:t xml:space="preserve">Legal Notice:</w:t>
      </w:r>
      <w:r>
        <w:t xml:space="preserve"> </w:t>
      </w:r>
      <w:r>
        <w:t xml:space="preserve">This invoice is issued by Dr. Émile Laurent, operating as an independent statistician (profession libérale) registered in the Répertoire des Métiers (RM) of Paris, France. The services described herein constitute professional statistical consulting and do not constitute medical advice. All analyses were performed in strict compliance with the French Public Health Code (Code de la santé publique) and applicable European Union regulations governing clinical research and data processing.</w:t>
      </w:r>
    </w:p>
    <w:p>
      <w:pPr>
        <w:pStyle w:val="BodyText"/>
      </w:pPr>
      <w:r>
        <w:rPr>
          <w:bCs/>
          <w:b/>
        </w:rPr>
        <w:t xml:space="preserve">Confidentiality:</w:t>
      </w:r>
      <w:r>
        <w:t xml:space="preserve"> </w:t>
      </w:r>
      <w:r>
        <w:t xml:space="preserve">All data, methodologies, and findings referenced in this invoice are subject to a mutual non-disclosure agreement (NDA) executed on 01 March 2025 between the parties. Unauthorized reproduction or distribution of statistical results derived from this engagement is strictly prohibited under French intellectual property law (Code de la propriété intellectuelle).</w:t>
      </w:r>
    </w:p>
    <w:p>
      <w:pPr>
        <w:pStyle w:val="BodyText"/>
      </w:pPr>
      <w:r>
        <w:rPr>
          <w:bCs/>
          <w:b/>
        </w:rPr>
        <w:t xml:space="preserve">Tax Information:</w:t>
      </w:r>
      <w:r>
        <w:t xml:space="preserve"> </w:t>
      </w:r>
      <w:r>
        <w:t xml:space="preserve">TVA (Valeur Ajoutée) is applied at the standard French rate of 20% as per Article 278 of the Code général des impôts. The intracommunity VAT number is provided for cross-border verification purposes within the European Union.</w:t>
      </w:r>
    </w:p>
    <w:p>
      <w:pPr>
        <w:pStyle w:val="BodyText"/>
      </w:pPr>
      <w:r>
        <w:rPr>
          <w:bCs/>
          <w:b/>
        </w:rPr>
        <w:t xml:space="preserve">Dispute Resolution:</w:t>
      </w:r>
      <w:r>
        <w:t xml:space="preserve"> </w:t>
      </w:r>
      <w:r>
        <w:t xml:space="preserve">Any dispute arising from this invoice or the associated services shall be subject to the exclusive jurisdiction of the Tribunal de Commerce de Paris, France, in accordance with French civil and commercial law.</w:t>
      </w:r>
    </w:p>
    <w:p>
      <w:pPr>
        <w:pStyle w:val="BodyText"/>
      </w:pPr>
      <w:r>
        <w:t xml:space="preserve">Dr. Émile Laurent — Independent Statistician — 14 Rue de la Bourse, 75002 Paris, France</w:t>
      </w:r>
    </w:p>
    <w:p>
      <w:pPr>
        <w:pStyle w:val="BodyText"/>
      </w:pPr>
      <w:r>
        <w:t xml:space="preserve">SIRET: 847 293 615 00021 | TVA: FR 42 847293615 | Registered with the Ordre des Statisticiens de France</w:t>
      </w:r>
    </w:p>
    <w:p>
      <w:pPr>
        <w:pStyle w:val="BodyText"/>
      </w:pPr>
      <w:r>
        <w:t xml:space="preserve">This invoice was generated electronically and is valid without signature in accordance with French electronic commerce regulations (Code de la consommation, Article L111-1).</w:t>
      </w:r>
    </w:p>
    <w:p>
      <w:pPr>
        <w:pStyle w:val="BodyText"/>
      </w:pPr>
      <w:r>
        <w:t xml:space="preserve">© 2025 Dr. Émile Laurent, Statistician, Paris,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Paris, France</dc:title>
  <dc:creator/>
  <dc:language>en</dc:language>
  <cp:keywords/>
  <dcterms:created xsi:type="dcterms:W3CDTF">2026-10-10T06:39:19Z</dcterms:created>
  <dcterms:modified xsi:type="dcterms:W3CDTF">2026-10-10T06:39:19Z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