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bavaria-statistical-consulting-gmbh"/>
    <w:p>
      <w:pPr>
        <w:pStyle w:val="Heading1"/>
      </w:pPr>
      <w:r>
        <w:t xml:space="preserve">Bavaria Statistical Consulting GmbH</w:t>
      </w:r>
    </w:p>
    <w:p>
      <w:pPr>
        <w:pStyle w:val="FirstParagraph"/>
      </w:pPr>
      <w:r>
        <w:t xml:space="preserve">Ludwigstraße 24, 80539 Munich, Germany</w:t>
      </w:r>
    </w:p>
    <w:p>
      <w:pPr>
        <w:pStyle w:val="BodyText"/>
      </w:pPr>
      <w:r>
        <w:t xml:space="preserve">Phone: +49 89 1234 5678</w:t>
      </w:r>
    </w:p>
    <w:p>
      <w:pPr>
        <w:pStyle w:val="BodyText"/>
      </w:pPr>
      <w:r>
        <w:t xml:space="preserve">Email: billing@bavaria-statistics.de</w:t>
      </w:r>
    </w:p>
    <w:p>
      <w:pPr>
        <w:pStyle w:val="BodyText"/>
      </w:pPr>
      <w:r>
        <w:t xml:space="preserve">VAT ID: DE 312 456 789</w:t>
      </w:r>
    </w:p>
    <w:p>
      <w:pPr>
        <w:pStyle w:val="BodyText"/>
      </w:pPr>
      <w:r>
        <w:t xml:space="preserve">HRB 123456, Amtsgericht München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Munich Industrial Analytics AG</w:t>
      </w:r>
    </w:p>
    <w:p>
      <w:pPr>
        <w:pStyle w:val="BodyText"/>
      </w:pPr>
      <w:r>
        <w:t xml:space="preserve">Maximilianstraße 42</w:t>
      </w:r>
    </w:p>
    <w:p>
      <w:pPr>
        <w:pStyle w:val="BodyText"/>
      </w:pPr>
      <w:r>
        <w:t xml:space="preserve">80539 Munich, Germany</w:t>
      </w:r>
    </w:p>
    <w:p>
      <w:pPr>
        <w:pStyle w:val="BodyText"/>
      </w:pPr>
      <w:r>
        <w:t xml:space="preserve">Attn: Dr. Heinrich Weber, CFO</w:t>
      </w:r>
    </w:p>
    <w:p>
      <w:pPr>
        <w:pStyle w:val="BodyText"/>
      </w:pPr>
      <w:r>
        <w:t xml:space="preserve">VAT ID: DE 298 765 431</w:t>
      </w:r>
    </w:p>
    <w:bookmarkEnd w:id="22"/>
    <w:bookmarkStart w:id="23" w:name="service-provider"/>
    <w:p>
      <w:pPr>
        <w:pStyle w:val="Heading3"/>
      </w:pPr>
      <w:r>
        <w:t xml:space="preserve">Service Provider</w:t>
      </w:r>
    </w:p>
    <w:p>
      <w:pPr>
        <w:pStyle w:val="FirstParagraph"/>
      </w:pPr>
      <w:r>
        <w:rPr>
          <w:bCs/>
          <w:b/>
        </w:rPr>
        <w:t xml:space="preserve">Dr. Anna Schneider, Statistician</w:t>
      </w:r>
    </w:p>
    <w:p>
      <w:pPr>
        <w:pStyle w:val="BodyText"/>
      </w:pPr>
      <w:r>
        <w:t xml:space="preserve">Bavaria Statistical Consulting GmbH</w:t>
      </w:r>
    </w:p>
    <w:p>
      <w:pPr>
        <w:pStyle w:val="BodyText"/>
      </w:pPr>
      <w:r>
        <w:t xml:space="preserve">Ludwigstraße 24</w:t>
      </w:r>
    </w:p>
    <w:p>
      <w:pPr>
        <w:pStyle w:val="BodyText"/>
      </w:pPr>
      <w:r>
        <w:t xml:space="preserve">80539 Munich, Germany</w:t>
      </w:r>
    </w:p>
    <w:p>
      <w:pPr>
        <w:pStyle w:val="BodyText"/>
      </w:pPr>
      <w:r>
        <w:t xml:space="preserve">Professional License: StA-2019-0042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Statistical data analysis and modeling for manufacturing quality control. The Statistician conducted comprehensive regression analysis, hypothesis testing, and multivariate statistical procedures on production datasets collected across three factory sites in the Munich metropolitan region.</w:t>
            </w:r>
          </w:p>
        </w:tc>
        <w:tc>
          <w:tcPr/>
          <w:p>
            <w:pPr>
              <w:pStyle w:val="Compact"/>
              <w:jc w:val="left"/>
            </w:pPr>
            <w:r>
              <w:t xml:space="preserve">120.00</w:t>
            </w:r>
          </w:p>
        </w:tc>
        <w:tc>
          <w:tcPr/>
          <w:p>
            <w:pPr>
              <w:pStyle w:val="Compact"/>
              <w:jc w:val="left"/>
            </w:pPr>
            <w:r>
              <w:t xml:space="preserve">32</w:t>
            </w:r>
          </w:p>
        </w:tc>
        <w:tc>
          <w:tcPr/>
          <w:p>
            <w:pPr>
              <w:pStyle w:val="Compact"/>
              <w:jc w:val="left"/>
            </w:pPr>
            <w:r>
              <w:t xml:space="preserve">3,840.00</w:t>
            </w:r>
          </w:p>
        </w:tc>
        <w:tc>
          <w:tcPr/>
          <w:p>
            <w:pPr>
              <w:pStyle w:val="Compact"/>
              <w:jc w:val="left"/>
            </w:pPr>
            <w:r>
              <w:t xml:space="preserve">729.60</w:t>
            </w:r>
          </w:p>
        </w:tc>
      </w:tr>
      <w:tr>
        <w:tc>
          <w:tcPr/>
          <w:p>
            <w:pPr>
              <w:pStyle w:val="Compact"/>
              <w:jc w:val="left"/>
            </w:pPr>
            <w:r>
              <w:t xml:space="preserve">2</w:t>
            </w:r>
          </w:p>
        </w:tc>
        <w:tc>
          <w:tcPr/>
          <w:p>
            <w:pPr>
              <w:pStyle w:val="Compact"/>
              <w:jc w:val="left"/>
            </w:pPr>
            <w:r>
              <w:t xml:space="preserve">Design and implementation of a Bayesian statistical framework for predictive maintenance scheduling. This engagement required the Statistician to develop custom probabilistic models, validate assumptions, and deliver a full technical report aligned with German industrial standards (DIN EN ISO 9001).</w:t>
            </w:r>
          </w:p>
        </w:tc>
        <w:tc>
          <w:tcPr/>
          <w:p>
            <w:pPr>
              <w:pStyle w:val="Compact"/>
              <w:jc w:val="left"/>
            </w:pPr>
            <w:r>
              <w:t xml:space="preserve">135.00</w:t>
            </w:r>
          </w:p>
        </w:tc>
        <w:tc>
          <w:tcPr/>
          <w:p>
            <w:pPr>
              <w:pStyle w:val="Compact"/>
              <w:jc w:val="left"/>
            </w:pPr>
            <w:r>
              <w:t xml:space="preserve">28</w:t>
            </w:r>
          </w:p>
        </w:tc>
        <w:tc>
          <w:tcPr/>
          <w:p>
            <w:pPr>
              <w:pStyle w:val="Compact"/>
              <w:jc w:val="left"/>
            </w:pPr>
            <w:r>
              <w:t xml:space="preserve">3,780.00</w:t>
            </w:r>
          </w:p>
        </w:tc>
        <w:tc>
          <w:tcPr/>
          <w:p>
            <w:pPr>
              <w:pStyle w:val="Compact"/>
              <w:jc w:val="left"/>
            </w:pPr>
            <w:r>
              <w:t xml:space="preserve">718.20</w:t>
            </w:r>
          </w:p>
        </w:tc>
      </w:tr>
      <w:tr>
        <w:tc>
          <w:tcPr/>
          <w:p>
            <w:pPr>
              <w:pStyle w:val="Compact"/>
              <w:jc w:val="left"/>
            </w:pPr>
            <w:r>
              <w:t xml:space="preserve">3</w:t>
            </w:r>
          </w:p>
        </w:tc>
        <w:tc>
          <w:tcPr/>
          <w:p>
            <w:pPr>
              <w:pStyle w:val="Compact"/>
              <w:jc w:val="left"/>
            </w:pPr>
            <w:r>
              <w:t xml:space="preserve">On-site consultation and workshop facilitation in Germany Munich. The Statistician provided two full-day training sessions for the client's engineering team covering advanced statistical inference, experimental design (DOE), and interpretation of confidence intervals in the context of German regulatory compliance requirements.</w:t>
            </w:r>
          </w:p>
        </w:tc>
        <w:tc>
          <w:tcPr/>
          <w:p>
            <w:pPr>
              <w:pStyle w:val="Compact"/>
              <w:jc w:val="left"/>
            </w:pPr>
            <w:r>
              <w:t xml:space="preserve">150.00</w:t>
            </w:r>
          </w:p>
        </w:tc>
        <w:tc>
          <w:tcPr/>
          <w:p>
            <w:pPr>
              <w:pStyle w:val="Compact"/>
              <w:jc w:val="left"/>
            </w:pPr>
            <w:r>
              <w:t xml:space="preserve">16</w:t>
            </w:r>
          </w:p>
        </w:tc>
        <w:tc>
          <w:tcPr/>
          <w:p>
            <w:pPr>
              <w:pStyle w:val="Compact"/>
              <w:jc w:val="left"/>
            </w:pPr>
            <w:r>
              <w:t xml:space="preserve">2,400.00</w:t>
            </w:r>
          </w:p>
        </w:tc>
        <w:tc>
          <w:tcPr/>
          <w:p>
            <w:pPr>
              <w:pStyle w:val="Compact"/>
              <w:jc w:val="left"/>
            </w:pPr>
            <w:r>
              <w:t xml:space="preserve">456.00</w:t>
            </w:r>
          </w:p>
        </w:tc>
      </w:tr>
      <w:tr>
        <w:tc>
          <w:tcPr/>
          <w:p>
            <w:pPr>
              <w:pStyle w:val="Compact"/>
              <w:jc w:val="left"/>
            </w:pPr>
            <w:r>
              <w:t xml:space="preserve">4</w:t>
            </w:r>
          </w:p>
        </w:tc>
        <w:tc>
          <w:tcPr/>
          <w:p>
            <w:pPr>
              <w:pStyle w:val="Compact"/>
              <w:jc w:val="left"/>
            </w:pPr>
            <w:r>
              <w:t xml:space="preserve">Preparation of a formal statistical audit report for submission to the Bavarian State Office for Data Protection. The Statistician reviewed anonymization techniques, assessed data sufficiency, and certified that all statistical methodologies complied with the German Federal Data Protection Act (BDSG) and EU GDPR provisions applicable in Germany Munich.</w:t>
            </w:r>
          </w:p>
        </w:tc>
        <w:tc>
          <w:tcPr/>
          <w:p>
            <w:pPr>
              <w:pStyle w:val="Compact"/>
              <w:jc w:val="left"/>
            </w:pPr>
            <w:r>
              <w:t xml:space="preserve">140.00</w:t>
            </w:r>
          </w:p>
        </w:tc>
        <w:tc>
          <w:tcPr/>
          <w:p>
            <w:pPr>
              <w:pStyle w:val="Compact"/>
              <w:jc w:val="left"/>
            </w:pPr>
            <w:r>
              <w:t xml:space="preserve">20</w:t>
            </w:r>
          </w:p>
        </w:tc>
        <w:tc>
          <w:tcPr/>
          <w:p>
            <w:pPr>
              <w:pStyle w:val="Compact"/>
              <w:jc w:val="left"/>
            </w:pPr>
            <w:r>
              <w:t xml:space="preserve">2,800.00</w:t>
            </w:r>
          </w:p>
        </w:tc>
        <w:tc>
          <w:tcPr/>
          <w:p>
            <w:pPr>
              <w:pStyle w:val="Compact"/>
              <w:jc w:val="left"/>
            </w:pPr>
            <w:r>
              <w:t xml:space="preserve">532.00</w:t>
            </w:r>
          </w:p>
        </w:tc>
      </w:tr>
      <w:tr>
        <w:tc>
          <w:tcPr/>
          <w:p>
            <w:pPr>
              <w:pStyle w:val="Compact"/>
              <w:jc w:val="left"/>
            </w:pPr>
            <w:r>
              <w:t xml:space="preserve">5</w:t>
            </w:r>
          </w:p>
        </w:tc>
        <w:tc>
          <w:tcPr/>
          <w:p>
            <w:pPr>
              <w:pStyle w:val="Compact"/>
              <w:jc w:val="left"/>
            </w:pPr>
            <w:r>
              <w:t xml:space="preserve">Development of a longitudinal statistical monitoring dashboard. The Statistician designed and coded an automated reporting pipeline using R and Python, enabling the client to track key performance indicators with real-time statistical process control charts, p-value trending, and anomaly detection alerts.</w:t>
            </w:r>
          </w:p>
        </w:tc>
        <w:tc>
          <w:tcPr/>
          <w:p>
            <w:pPr>
              <w:pStyle w:val="Compact"/>
              <w:jc w:val="left"/>
            </w:pPr>
            <w:r>
              <w:t xml:space="preserve">125.00</w:t>
            </w:r>
          </w:p>
        </w:tc>
        <w:tc>
          <w:tcPr/>
          <w:p>
            <w:pPr>
              <w:pStyle w:val="Compact"/>
              <w:jc w:val="left"/>
            </w:pPr>
            <w:r>
              <w:t xml:space="preserve">24</w:t>
            </w:r>
          </w:p>
        </w:tc>
        <w:tc>
          <w:tcPr/>
          <w:p>
            <w:pPr>
              <w:pStyle w:val="Compact"/>
              <w:jc w:val="left"/>
            </w:pPr>
            <w:r>
              <w:t xml:space="preserve">3,000.00</w:t>
            </w:r>
          </w:p>
        </w:tc>
        <w:tc>
          <w:tcPr/>
          <w:p>
            <w:pPr>
              <w:pStyle w:val="Compact"/>
              <w:jc w:val="left"/>
            </w:pPr>
            <w:r>
              <w:t xml:space="preserve">570.00</w:t>
            </w:r>
          </w:p>
        </w:tc>
      </w:tr>
    </w:tbl>
    <w:p>
      <w:pPr>
        <w:pStyle w:val="BodyText"/>
      </w:pPr>
      <w:r>
        <w:t xml:space="preserve">Subtotal (Net):</w:t>
      </w:r>
      <w:r>
        <w:t xml:space="preserve">€ 15,820.00</w:t>
      </w:r>
    </w:p>
    <w:p>
      <w:pPr>
        <w:pStyle w:val="BodyText"/>
      </w:pPr>
      <w:r>
        <w:t xml:space="preserve">VAT (19%):</w:t>
      </w:r>
      <w:r>
        <w:t xml:space="preserve">€ 3,005.80</w:t>
      </w:r>
    </w:p>
    <w:p>
      <w:pPr>
        <w:pStyle w:val="BodyText"/>
      </w:pPr>
      <w:r>
        <w:t xml:space="preserve">Grand Total:</w:t>
      </w:r>
      <w:r>
        <w:t xml:space="preserve">€ 18,825.80</w:t>
      </w:r>
    </w:p>
    <w:p>
      <w:pPr>
        <w:pStyle w:val="BodyText"/>
      </w:pPr>
      <w:r>
        <w:t xml:space="preserve">All amounts are in Euros (EUR). VAT is applied at the standard German rate of 19% as per § 12 UStG. This Invoice is issued in accordance with § 14 UStG and § 14a UStG of the German Tax Code.</w:t>
      </w:r>
    </w:p>
    <w:bookmarkStart w:id="24" w:name="payment-terms-conditions"/>
    <w:p>
      <w:pPr>
        <w:pStyle w:val="Heading3"/>
      </w:pPr>
      <w:r>
        <w:t xml:space="preserve">Payment Terms &amp; Conditions</w:t>
      </w:r>
    </w:p>
    <w:p>
      <w:pPr>
        <w:pStyle w:val="FirstParagraph"/>
      </w:pPr>
      <w:r>
        <w:t xml:space="preserve">This Invoice is payable within 14 calendar days of the issue date via bank transfer to the account specified below. Please reference Invoice number INV-2025-00487 in your payment communication.</w:t>
      </w:r>
    </w:p>
    <w:p>
      <w:pPr>
        <w:numPr>
          <w:ilvl w:val="0"/>
          <w:numId w:val="1001"/>
        </w:numPr>
        <w:pStyle w:val="Compact"/>
      </w:pPr>
      <w:r>
        <w:rPr>
          <w:bCs/>
          <w:b/>
        </w:rPr>
        <w:t xml:space="preserve">Bank:</w:t>
      </w:r>
      <w:r>
        <w:t xml:space="preserve"> </w:t>
      </w:r>
      <w:r>
        <w:t xml:space="preserve">Bayerische Landesbank</w:t>
      </w:r>
    </w:p>
    <w:p>
      <w:pPr>
        <w:numPr>
          <w:ilvl w:val="0"/>
          <w:numId w:val="1001"/>
        </w:numPr>
        <w:pStyle w:val="Compact"/>
      </w:pPr>
      <w:r>
        <w:rPr>
          <w:bCs/>
          <w:b/>
        </w:rPr>
        <w:t xml:space="preserve">IBAN:</w:t>
      </w:r>
      <w:r>
        <w:t xml:space="preserve"> </w:t>
      </w:r>
      <w:r>
        <w:t xml:space="preserve">DE89 1005 0000 0000 0000 00</w:t>
      </w:r>
    </w:p>
    <w:p>
      <w:pPr>
        <w:numPr>
          <w:ilvl w:val="0"/>
          <w:numId w:val="1001"/>
        </w:numPr>
        <w:pStyle w:val="Compact"/>
      </w:pPr>
      <w:r>
        <w:rPr>
          <w:bCs/>
          <w:b/>
        </w:rPr>
        <w:t xml:space="preserve">BIC/SWIFT:</w:t>
      </w:r>
      <w:r>
        <w:t xml:space="preserve"> </w:t>
      </w:r>
      <w:r>
        <w:t xml:space="preserve">BYLADEM1001</w:t>
      </w:r>
    </w:p>
    <w:p>
      <w:pPr>
        <w:numPr>
          <w:ilvl w:val="0"/>
          <w:numId w:val="1001"/>
        </w:numPr>
        <w:pStyle w:val="Compact"/>
      </w:pPr>
      <w:r>
        <w:rPr>
          <w:bCs/>
          <w:b/>
        </w:rPr>
        <w:t xml:space="preserve">Account Holder:</w:t>
      </w:r>
      <w:r>
        <w:t xml:space="preserve"> </w:t>
      </w:r>
      <w:r>
        <w:t xml:space="preserve">Bavaria Statistical Consulting GmbH</w:t>
      </w:r>
    </w:p>
    <w:p>
      <w:pPr>
        <w:pStyle w:val="FirstParagraph"/>
      </w:pPr>
      <w:r>
        <w:t xml:space="preserve">In the event of late payment, interest at the statutory rate of 8 percentage points above the European Central Bank base rate (per § 288 BGB) shall apply. The Statistician reserves the right to suspend ongoing services until full settlement of this Invoice is confirmed.</w:t>
      </w:r>
    </w:p>
    <w:bookmarkEnd w:id="24"/>
    <w:bookmarkStart w:id="25" w:name="additional-notes"/>
    <w:p>
      <w:pPr>
        <w:pStyle w:val="Heading3"/>
      </w:pPr>
      <w:r>
        <w:t xml:space="preserve">Additional Notes</w:t>
      </w:r>
    </w:p>
    <w:p>
      <w:pPr>
        <w:pStyle w:val="FirstParagraph"/>
      </w:pPr>
      <w:r>
        <w:t xml:space="preserve">This Invoice documents professional statistical services rendered by a certified Statistician operating under the jurisdiction of the State of Bavaria, Germany Munich. All analytical work performed during the service period adhered to the ethical guidelines of the German Statistical Society (Deutsche Gesellschaft für Statistik) and the professional code of conduct established by the Bavarian Chamber of Commerce (IHK für München und Oberbayern).</w:t>
      </w:r>
    </w:p>
    <w:p>
      <w:pPr>
        <w:pStyle w:val="BodyText"/>
      </w:pPr>
      <w:r>
        <w:t xml:space="preserve">The Statistician confirms that all data processing activities were conducted in full compliance with applicable data protection legislation. No client data has been retained beyond the scope of this engagement unless separately agreed in writing. This Invoice constitutes the final and complete billing for all services rendered during the stated service period. Any additional work performed outside the agreed scope will be subject to a separate Invoice.</w:t>
      </w:r>
    </w:p>
    <w:p>
      <w:pPr>
        <w:pStyle w:val="BodyText"/>
      </w:pPr>
      <w:r>
        <w:t xml:space="preserve">Should the client require a duplicate copy of this Invoice or wish to dispute any line item, written notice must be submitted to the billing department within 30 days of the due date. Disputes shall be resolved under the jurisdiction of the competent courts in Munich, Germany, in accordance with German civil procedure law (ZPO).</w:t>
      </w:r>
    </w:p>
    <w:bookmarkEnd w:id="25"/>
    <w:p>
      <w:pPr>
        <w:pStyle w:val="BodyText"/>
      </w:pPr>
      <w:r>
        <w:rPr>
          <w:bCs/>
          <w:b/>
        </w:rPr>
        <w:t xml:space="preserve">Bavaria Statistical Consulting GmbH</w:t>
      </w:r>
      <w:r>
        <w:t xml:space="preserve"> </w:t>
      </w:r>
      <w:r>
        <w:t xml:space="preserve">| Ludwigstraße 24, 80539 Munich, Germany</w:t>
      </w:r>
    </w:p>
    <w:p>
      <w:pPr>
        <w:pStyle w:val="BodyText"/>
      </w:pPr>
      <w:r>
        <w:t xml:space="preserve">Managing Director: Dr. Anna Schneider | HRB 123456, Amtsgericht München | VAT ID: DE 312 456 789</w:t>
      </w:r>
    </w:p>
    <w:p>
      <w:pPr>
        <w:pStyle w:val="BodyText"/>
      </w:pPr>
      <w:r>
        <w:t xml:space="preserve">This Invoice was generated electronically and is valid without a physical signature per § 14 Abs. 4 UStG.</w:t>
      </w:r>
    </w:p>
    <w:p>
      <w:pPr>
        <w:pStyle w:val="BodyText"/>
      </w:pPr>
      <w:r>
        <w:t xml:space="preserve">Thank you for engaging our Statistician for your statistical consulting needs in Germany Munich.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Germany Munich</dc:title>
  <dc:creator/>
  <dc:language>en</dc:language>
  <cp:keywords/>
  <dcterms:created xsi:type="dcterms:W3CDTF">2026-10-10T02:28:08Z</dcterms:created>
  <dcterms:modified xsi:type="dcterms:W3CDTF">2026-10-10T02:28:08Z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