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INVOICE</w:t>
      </w:r>
    </w:p>
    <w:p>
      <w:pPr>
        <w:pStyle w:val="BodyText"/>
      </w:pPr>
      <w:r>
        <w:t xml:space="preserve">Professional Statistical Consulting Services</w:t>
      </w:r>
    </w:p>
    <w:p>
      <w:pPr>
        <w:pStyle w:val="BodyText"/>
      </w:pPr>
      <w:r>
        <w:t xml:space="preserve">PAID</w:t>
      </w:r>
    </w:p>
    <w:bookmarkStart w:id="20" w:name="invoice-number-inv-ir-thr-2025-0472"/>
    <w:p>
      <w:pPr>
        <w:pStyle w:val="Heading3"/>
      </w:pPr>
      <w:r>
        <w:t xml:space="preserve">Invoice Number: INV-IR-THR-2025-0472</w:t>
      </w:r>
    </w:p>
    <w:p>
      <w:pPr>
        <w:pStyle w:val="FirstParagraph"/>
      </w:pPr>
      <w:r>
        <w:t xml:space="preserve">Invoice Date: 15 June 2025</w:t>
      </w:r>
    </w:p>
    <w:p>
      <w:pPr>
        <w:pStyle w:val="BodyText"/>
      </w:pPr>
      <w:r>
        <w:t xml:space="preserve">Due Date: 30 June 2025</w:t>
      </w:r>
    </w:p>
    <w:p>
      <w:pPr>
        <w:pStyle w:val="BodyText"/>
      </w:pPr>
      <w:r>
        <w:t xml:space="preserve">Currency: Iranian Rial (IRR)</w:t>
      </w:r>
    </w:p>
    <w:p>
      <w:pPr>
        <w:pStyle w:val="BodyText"/>
      </w:pPr>
      <w:r>
        <w:t xml:space="preserve">Payment Terms: Net 15 Days</w:t>
      </w:r>
    </w:p>
    <w:bookmarkEnd w:id="20"/>
    <w:bookmarkStart w:id="21" w:name="statistician-service-provider"/>
    <w:p>
      <w:pPr>
        <w:pStyle w:val="Heading4"/>
      </w:pPr>
      <w:r>
        <w:t xml:space="preserve">Statistician (Service Provider)</w:t>
      </w:r>
    </w:p>
    <w:p>
      <w:pPr>
        <w:pStyle w:val="FirstParagraph"/>
      </w:pPr>
      <w:r>
        <w:rPr>
          <w:bCs/>
          <w:b/>
        </w:rPr>
        <w:t xml:space="preserve">Name:</w:t>
      </w:r>
      <w:r>
        <w:t xml:space="preserve"> </w:t>
      </w:r>
      <w:r>
        <w:t xml:space="preserve">Dr. Amir Hosseini</w:t>
      </w:r>
    </w:p>
    <w:p>
      <w:pPr>
        <w:pStyle w:val="BodyText"/>
      </w:pPr>
      <w:r>
        <w:rPr>
          <w:bCs/>
          <w:b/>
        </w:rPr>
        <w:t xml:space="preserve">Title:</w:t>
      </w:r>
      <w:r>
        <w:t xml:space="preserve"> </w:t>
      </w:r>
      <w:r>
        <w:t xml:space="preserve">Senior Statistician &amp; Data Analyst</w:t>
      </w:r>
    </w:p>
    <w:p>
      <w:pPr>
        <w:pStyle w:val="BodyText"/>
      </w:pPr>
      <w:r>
        <w:rPr>
          <w:bCs/>
          <w:b/>
        </w:rPr>
        <w:t xml:space="preserve">Address:</w:t>
      </w:r>
      <w:r>
        <w:t xml:space="preserve"> </w:t>
      </w:r>
      <w:r>
        <w:t xml:space="preserve">No. 42, Vali-e-Asr Street, District 12, Tehran, Iran</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a.hosseini@statconsult-iran.com</w:t>
      </w:r>
    </w:p>
    <w:p>
      <w:pPr>
        <w:pStyle w:val="BodyText"/>
      </w:pPr>
      <w:r>
        <w:rPr>
          <w:bCs/>
          <w:b/>
        </w:rPr>
        <w:t xml:space="preserve">License No.:</w:t>
      </w:r>
      <w:r>
        <w:t xml:space="preserve"> </w:t>
      </w:r>
      <w:r>
        <w:t xml:space="preserve">IR-STAT-2019-00847</w:t>
      </w:r>
    </w:p>
    <w:p>
      <w:pPr>
        <w:pStyle w:val="BodyText"/>
      </w:pPr>
      <w:r>
        <w:rPr>
          <w:bCs/>
          <w:b/>
        </w:rPr>
        <w:t xml:space="preserve">Shahkar No.:</w:t>
      </w:r>
      <w:r>
        <w:t xml:space="preserve"> </w:t>
      </w:r>
      <w:r>
        <w:t xml:space="preserve">1024578963</w:t>
      </w:r>
    </w:p>
    <w:bookmarkEnd w:id="21"/>
    <w:bookmarkStart w:id="22" w:name="client-bill-to"/>
    <w:p>
      <w:pPr>
        <w:pStyle w:val="Heading4"/>
      </w:pPr>
      <w:r>
        <w:t xml:space="preserve">Client (Bill To)</w:t>
      </w:r>
    </w:p>
    <w:p>
      <w:pPr>
        <w:pStyle w:val="FirstParagraph"/>
      </w:pPr>
      <w:r>
        <w:rPr>
          <w:bCs/>
          <w:b/>
        </w:rPr>
        <w:t xml:space="preserve">Company:</w:t>
      </w:r>
      <w:r>
        <w:t xml:space="preserve"> </w:t>
      </w:r>
      <w:r>
        <w:t xml:space="preserve">Kish Pharmaceutical Research Institute</w:t>
      </w:r>
    </w:p>
    <w:p>
      <w:pPr>
        <w:pStyle w:val="BodyText"/>
      </w:pPr>
      <w:r>
        <w:rPr>
          <w:bCs/>
          <w:b/>
        </w:rPr>
        <w:t xml:space="preserve">Address:</w:t>
      </w:r>
      <w:r>
        <w:t xml:space="preserve"> </w:t>
      </w:r>
      <w:r>
        <w:t xml:space="preserve">No. 18, Enghelab Avenue, District 1, Tehran, Iran</w:t>
      </w:r>
    </w:p>
    <w:p>
      <w:pPr>
        <w:pStyle w:val="BodyText"/>
      </w:pPr>
      <w:r>
        <w:rPr>
          <w:bCs/>
          <w:b/>
        </w:rPr>
        <w:t xml:space="preserve">Phone:</w:t>
      </w:r>
      <w:r>
        <w:t xml:space="preserve"> </w:t>
      </w:r>
      <w:r>
        <w:t xml:space="preserve">+98-21-4455-6677</w:t>
      </w:r>
    </w:p>
    <w:p>
      <w:pPr>
        <w:pStyle w:val="BodyText"/>
      </w:pPr>
      <w:r>
        <w:rPr>
          <w:bCs/>
          <w:b/>
        </w:rPr>
        <w:t xml:space="preserve">Email:</w:t>
      </w:r>
      <w:r>
        <w:t xml:space="preserve"> </w:t>
      </w:r>
      <w:r>
        <w:t xml:space="preserve">procurement@kishpharma.ir</w:t>
      </w:r>
    </w:p>
    <w:p>
      <w:pPr>
        <w:pStyle w:val="BodyText"/>
      </w:pPr>
      <w:r>
        <w:rPr>
          <w:bCs/>
          <w:b/>
        </w:rPr>
        <w:t xml:space="preserve">Shahkar No.:</w:t>
      </w:r>
      <w:r>
        <w:t xml:space="preserve"> </w:t>
      </w:r>
      <w:r>
        <w:t xml:space="preserve">1098765432</w:t>
      </w:r>
    </w:p>
    <w:p>
      <w:pPr>
        <w:pStyle w:val="BodyText"/>
      </w:pPr>
      <w:r>
        <w:rPr>
          <w:bCs/>
          <w:b/>
        </w:rPr>
        <w:t xml:space="preserve">Contact Person:</w:t>
      </w:r>
      <w:r>
        <w:t xml:space="preserve"> </w:t>
      </w:r>
      <w:r>
        <w:t xml:space="preserve">Ms. Fatemeh Rahimi, Head of R&amp;D</w:t>
      </w:r>
    </w:p>
    <w:bookmarkEnd w:id="22"/>
    <w:p>
      <w:pPr>
        <w:pStyle w:val="BodyText"/>
      </w:pPr>
      <w:r>
        <w:rPr>
          <w:bCs/>
          <w:b/>
        </w:rPr>
        <w:t xml:space="preserve">Invoice Note:</w:t>
      </w:r>
      <w:r>
        <w:t xml:space="preserve"> </w:t>
      </w:r>
      <w:r>
        <w:t xml:space="preserve">This Invoice documents the professional services rendered by the Statistician Dr. Amir Hosseini to the Kish Pharmaceutical Research Institute for the period of March 2025 through May 2025. All statistical analyses, data modeling, and reporting were conducted in compliance with the standards established by the Statistical Center of Iran and the regulatory frameworks applicable in Iran Tehran. This Invoice is issued in accordance with the commercial tax regulations of the Islamic Republic of Iran.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Statistical Service</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Design and implementation of a randomized controlled trial statistical analysis plan for Phase II clinical trial of a novel antihypertensive compound. The Statistician prepared the full protocol documentation, power calculations, and interim analysis procedures.</w:t>
            </w:r>
          </w:p>
        </w:tc>
        <w:tc>
          <w:tcPr/>
          <w:p>
            <w:pPr>
              <w:pStyle w:val="Compact"/>
              <w:jc w:val="left"/>
            </w:pPr>
            <w:r>
              <w:t xml:space="preserve">Mar 2025</w:t>
            </w:r>
          </w:p>
        </w:tc>
        <w:tc>
          <w:tcPr/>
          <w:p>
            <w:pPr>
              <w:pStyle w:val="Compact"/>
              <w:jc w:val="left"/>
            </w:pPr>
            <w:r>
              <w:t xml:space="preserve">48</w:t>
            </w:r>
          </w:p>
        </w:tc>
        <w:tc>
          <w:tcPr/>
          <w:p>
            <w:pPr>
              <w:pStyle w:val="Compact"/>
              <w:jc w:val="left"/>
            </w:pPr>
            <w:r>
              <w:t xml:space="preserve">2,500,000</w:t>
            </w:r>
          </w:p>
        </w:tc>
        <w:tc>
          <w:tcPr/>
          <w:p>
            <w:pPr>
              <w:pStyle w:val="Compact"/>
              <w:jc w:val="left"/>
            </w:pPr>
            <w:r>
              <w:t xml:space="preserve">120,000,000</w:t>
            </w:r>
          </w:p>
        </w:tc>
      </w:tr>
      <w:tr>
        <w:tc>
          <w:tcPr/>
          <w:p>
            <w:pPr>
              <w:pStyle w:val="Compact"/>
              <w:jc w:val="left"/>
            </w:pPr>
            <w:r>
              <w:t xml:space="preserve">2</w:t>
            </w:r>
          </w:p>
        </w:tc>
        <w:tc>
          <w:tcPr/>
          <w:p>
            <w:pPr>
              <w:pStyle w:val="Compact"/>
              <w:jc w:val="left"/>
            </w:pPr>
            <w:r>
              <w:t xml:space="preserve">Development of a multivariate regression model for predicting drug efficacy outcomes using a dataset of 12,400 patient records. The Statistician performed variable selection, model validation, and cross-validation procedures.</w:t>
            </w:r>
          </w:p>
        </w:tc>
        <w:tc>
          <w:tcPr/>
          <w:p>
            <w:pPr>
              <w:pStyle w:val="Compact"/>
              <w:jc w:val="left"/>
            </w:pPr>
            <w:r>
              <w:t xml:space="preserve">Apr 2025</w:t>
            </w:r>
          </w:p>
        </w:tc>
        <w:tc>
          <w:tcPr/>
          <w:p>
            <w:pPr>
              <w:pStyle w:val="Compact"/>
              <w:jc w:val="left"/>
            </w:pPr>
            <w:r>
              <w:t xml:space="preserve">36</w:t>
            </w:r>
          </w:p>
        </w:tc>
        <w:tc>
          <w:tcPr/>
          <w:p>
            <w:pPr>
              <w:pStyle w:val="Compact"/>
              <w:jc w:val="left"/>
            </w:pPr>
            <w:r>
              <w:t xml:space="preserve">2,500,000</w:t>
            </w:r>
          </w:p>
        </w:tc>
        <w:tc>
          <w:tcPr/>
          <w:p>
            <w:pPr>
              <w:pStyle w:val="Compact"/>
              <w:jc w:val="left"/>
            </w:pPr>
            <w:r>
              <w:t xml:space="preserve">90,000,000</w:t>
            </w:r>
          </w:p>
        </w:tc>
      </w:tr>
      <w:tr>
        <w:tc>
          <w:tcPr/>
          <w:p>
            <w:pPr>
              <w:pStyle w:val="Compact"/>
              <w:jc w:val="left"/>
            </w:pPr>
            <w:r>
              <w:t xml:space="preserve">3</w:t>
            </w:r>
          </w:p>
        </w:tc>
        <w:tc>
          <w:tcPr/>
          <w:p>
            <w:pPr>
              <w:pStyle w:val="Compact"/>
              <w:jc w:val="left"/>
            </w:pPr>
            <w:r>
              <w:t xml:space="preserve">Survival analysis and time-to-event modeling for long-term patient follow-up data. The Statistician applied Cox proportional hazards models, Kaplan-Meier estimators, and competing risk frameworks.</w:t>
            </w:r>
          </w:p>
        </w:tc>
        <w:tc>
          <w:tcPr/>
          <w:p>
            <w:pPr>
              <w:pStyle w:val="Compact"/>
              <w:jc w:val="left"/>
            </w:pPr>
            <w:r>
              <w:t xml:space="preserve">Apr 2025</w:t>
            </w:r>
          </w:p>
        </w:tc>
        <w:tc>
          <w:tcPr/>
          <w:p>
            <w:pPr>
              <w:pStyle w:val="Compact"/>
              <w:jc w:val="left"/>
            </w:pPr>
            <w:r>
              <w:t xml:space="preserve">32</w:t>
            </w:r>
          </w:p>
        </w:tc>
        <w:tc>
          <w:tcPr/>
          <w:p>
            <w:pPr>
              <w:pStyle w:val="Compact"/>
              <w:jc w:val="left"/>
            </w:pPr>
            <w:r>
              <w:t xml:space="preserve">2,500,000</w:t>
            </w:r>
          </w:p>
        </w:tc>
        <w:tc>
          <w:tcPr/>
          <w:p>
            <w:pPr>
              <w:pStyle w:val="Compact"/>
              <w:jc w:val="left"/>
            </w:pPr>
            <w:r>
              <w:t xml:space="preserve">80,000,000</w:t>
            </w:r>
          </w:p>
        </w:tc>
      </w:tr>
      <w:tr>
        <w:tc>
          <w:tcPr/>
          <w:p>
            <w:pPr>
              <w:pStyle w:val="Compact"/>
              <w:jc w:val="left"/>
            </w:pPr>
            <w:r>
              <w:t xml:space="preserve">4</w:t>
            </w:r>
          </w:p>
        </w:tc>
        <w:tc>
          <w:tcPr/>
          <w:p>
            <w:pPr>
              <w:pStyle w:val="Compact"/>
              <w:jc w:val="left"/>
            </w:pPr>
            <w:r>
              <w:t xml:space="preserve">Preparation of a comprehensive statistical report for submission to the Food and Drug Administration of Iran (FDAI). The Statistician compiled all analytical outputs, confidence intervals, p-values, and interpretive narratives.</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2,500,000</w:t>
            </w:r>
          </w:p>
        </w:tc>
        <w:tc>
          <w:tcPr/>
          <w:p>
            <w:pPr>
              <w:pStyle w:val="Compact"/>
              <w:jc w:val="left"/>
            </w:pPr>
            <w:r>
              <w:t xml:space="preserve">60,000,000</w:t>
            </w:r>
          </w:p>
        </w:tc>
      </w:tr>
      <w:tr>
        <w:tc>
          <w:tcPr/>
          <w:p>
            <w:pPr>
              <w:pStyle w:val="Compact"/>
              <w:jc w:val="left"/>
            </w:pPr>
            <w:r>
              <w:t xml:space="preserve">5</w:t>
            </w:r>
          </w:p>
        </w:tc>
        <w:tc>
          <w:tcPr/>
          <w:p>
            <w:pPr>
              <w:pStyle w:val="Compact"/>
              <w:jc w:val="left"/>
            </w:pPr>
            <w:r>
              <w:t xml:space="preserve">On-site consultation and training session for the client's internal data team in Tehran. The Statistician conducted a two-day workshop on Bayesian statistical methods and modern R programming for pharmaceutical research.</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3,000,000</w:t>
            </w:r>
          </w:p>
        </w:tc>
        <w:tc>
          <w:tcPr/>
          <w:p>
            <w:pPr>
              <w:pStyle w:val="Compact"/>
              <w:jc w:val="left"/>
            </w:pPr>
            <w:r>
              <w:t xml:space="preserve">48,000,000</w:t>
            </w:r>
          </w:p>
        </w:tc>
      </w:tr>
      <w:tr>
        <w:tc>
          <w:tcPr/>
          <w:p>
            <w:pPr>
              <w:pStyle w:val="Compact"/>
              <w:jc w:val="left"/>
            </w:pPr>
            <w:r>
              <w:t xml:space="preserve">6</w:t>
            </w:r>
          </w:p>
        </w:tc>
        <w:tc>
          <w:tcPr/>
          <w:p>
            <w:pPr>
              <w:pStyle w:val="Compact"/>
              <w:jc w:val="left"/>
            </w:pPr>
            <w:r>
              <w:t xml:space="preserve">Quality assurance review and peer validation of all statistical deliverables. The Statistician performed a full audit of code, assumptions, and reproducibility of all analyses prior to final submission.</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2,500,000</w:t>
            </w:r>
          </w:p>
        </w:tc>
        <w:tc>
          <w:tcPr/>
          <w:p>
            <w:pPr>
              <w:pStyle w:val="Compact"/>
              <w:jc w:val="left"/>
            </w:pPr>
            <w:r>
              <w:t xml:space="preserve">30,000,000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428,000,000 IRR</w:t>
            </w:r>
          </w:p>
        </w:tc>
      </w:tr>
      <w:tr>
        <w:tc>
          <w:tcPr/>
          <w:p>
            <w:pPr>
              <w:pStyle w:val="Compact"/>
              <w:jc w:val="left"/>
            </w:pPr>
            <w:r>
              <w:t xml:space="preserve">VAT (9% - Iran Standard Rate)</w:t>
            </w:r>
          </w:p>
        </w:tc>
        <w:tc>
          <w:tcPr/>
          <w:p>
            <w:pPr>
              <w:pStyle w:val="Compact"/>
              <w:jc w:val="right"/>
            </w:pPr>
            <w:r>
              <w:t xml:space="preserve">38,520,000 IRR</w:t>
            </w:r>
          </w:p>
        </w:tc>
      </w:tr>
      <w:tr>
        <w:tc>
          <w:tcPr/>
          <w:p>
            <w:pPr>
              <w:pStyle w:val="Compact"/>
              <w:jc w:val="left"/>
            </w:pPr>
            <w:r>
              <w:t xml:space="preserve">Travel &amp; Accommodation (Tehran Metro Area)</w:t>
            </w:r>
          </w:p>
        </w:tc>
        <w:tc>
          <w:tcPr/>
          <w:p>
            <w:pPr>
              <w:pStyle w:val="Compact"/>
              <w:jc w:val="right"/>
            </w:pPr>
            <w:r>
              <w:t xml:space="preserve">12,000,000 IRR</w:t>
            </w:r>
          </w:p>
        </w:tc>
      </w:tr>
      <w:tr>
        <w:tc>
          <w:tcPr/>
          <w:p>
            <w:pPr>
              <w:pStyle w:val="Compact"/>
              <w:jc w:val="left"/>
            </w:pPr>
            <w:r>
              <w:t xml:space="preserve">Software License Surcharge (SAS, R, SPSS)</w:t>
            </w:r>
          </w:p>
        </w:tc>
        <w:tc>
          <w:tcPr/>
          <w:p>
            <w:pPr>
              <w:pStyle w:val="Compact"/>
              <w:jc w:val="right"/>
            </w:pPr>
            <w:r>
              <w:t xml:space="preserve">8,480,000 IRR</w:t>
            </w:r>
          </w:p>
        </w:tc>
      </w:tr>
      <w:tr>
        <w:tc>
          <w:tcPr/>
          <w:p>
            <w:pPr>
              <w:pStyle w:val="Compact"/>
              <w:jc w:val="left"/>
            </w:pPr>
            <w:r>
              <w:t xml:space="preserve">Grand Total (Due)</w:t>
            </w:r>
          </w:p>
        </w:tc>
        <w:tc>
          <w:tcPr/>
          <w:p>
            <w:pPr>
              <w:pStyle w:val="Compact"/>
              <w:jc w:val="right"/>
            </w:pPr>
            <w:r>
              <w:t xml:space="preserve">487,000,000 IRR</w:t>
            </w:r>
          </w:p>
        </w:tc>
      </w:tr>
    </w:tbl>
    <w:bookmarkStart w:id="23" w:name="terms-and-conditions-of-this-invoice"/>
    <w:p>
      <w:pPr>
        <w:pStyle w:val="Heading4"/>
      </w:pPr>
      <w:r>
        <w:t xml:space="preserve">Terms and Conditions of This Invoice</w:t>
      </w:r>
    </w:p>
    <w:p>
      <w:pPr>
        <w:numPr>
          <w:ilvl w:val="0"/>
          <w:numId w:val="1001"/>
        </w:numPr>
        <w:pStyle w:val="Compact"/>
      </w:pPr>
      <w:r>
        <w:t xml:space="preserve">This Invoice is valid for payment within fifteen (15) calendar days from the Invoice date. Late payments shall incur a penalty of 0.5% per day as per Iranian commercial law.</w:t>
      </w:r>
    </w:p>
    <w:p>
      <w:pPr>
        <w:numPr>
          <w:ilvl w:val="0"/>
          <w:numId w:val="1001"/>
        </w:numPr>
        <w:pStyle w:val="Compact"/>
      </w:pPr>
      <w:r>
        <w:t xml:space="preserve">All statistical work performed by the Statistician is confidential. The client agrees to maintain the confidentiality of all proprietary data, models, and analytical outputs delivered under this engagement.</w:t>
      </w:r>
    </w:p>
    <w:p>
      <w:pPr>
        <w:numPr>
          <w:ilvl w:val="0"/>
          <w:numId w:val="1001"/>
        </w:numPr>
        <w:pStyle w:val="Compact"/>
      </w:pPr>
      <w:r>
        <w:t xml:space="preserve">The Statistician warrants that all analyses were conducted with professional diligence, using validated statistical software and methodologies accepted by the Iranian statistical and pharmaceutical regulatory community in Tehran.</w:t>
      </w:r>
    </w:p>
    <w:p>
      <w:pPr>
        <w:numPr>
          <w:ilvl w:val="0"/>
          <w:numId w:val="1001"/>
        </w:numPr>
        <w:pStyle w:val="Compact"/>
      </w:pPr>
      <w:r>
        <w:t xml:space="preserve">Payment shall be made via bank transfer to the Statistician's registered account at Bank Melli Iran, Tehran branch. The Invoice number must be referenced in the payment memo.</w:t>
      </w:r>
    </w:p>
    <w:p>
      <w:pPr>
        <w:numPr>
          <w:ilvl w:val="0"/>
          <w:numId w:val="1001"/>
        </w:numPr>
        <w:pStyle w:val="Compact"/>
      </w:pPr>
      <w:r>
        <w:t xml:space="preserve">Any disputes arising from this Invoice shall be resolved through the competent commercial courts of Tehran, Iran, in accordance with the Civil Procedure Code of the Islamic Republic of Iran.</w:t>
      </w:r>
    </w:p>
    <w:p>
      <w:pPr>
        <w:numPr>
          <w:ilvl w:val="0"/>
          <w:numId w:val="1001"/>
        </w:numPr>
        <w:pStyle w:val="Compact"/>
      </w:pPr>
      <w:r>
        <w:t xml:space="preserve">This Invoice constitutes the final and complete statement of services rendered. No additional charges beyond those itemized herein shall be invoiced for the engagement period specified.</w:t>
      </w:r>
    </w:p>
    <w:p>
      <w:pPr>
        <w:numPr>
          <w:ilvl w:val="0"/>
          <w:numId w:val="1001"/>
        </w:numPr>
        <w:pStyle w:val="Compact"/>
      </w:pPr>
      <w:r>
        <w:t xml:space="preserve">The Statistician reserves the right to publish anonymized methodological findings in peer-reviewed journals, provided that no client-identifiable data is disclosed.</w:t>
      </w:r>
    </w:p>
    <w:bookmarkEnd w:id="23"/>
    <w:bookmarkStart w:id="24" w:name="payment-confirmation-authorization"/>
    <w:p>
      <w:pPr>
        <w:pStyle w:val="Heading4"/>
      </w:pPr>
      <w:r>
        <w:t xml:space="preserve">Payment Confirmation &amp; Authorization</w:t>
      </w:r>
    </w:p>
    <w:p>
      <w:pPr>
        <w:pStyle w:val="FirstParagraph"/>
      </w:pPr>
      <w:r>
        <w:rPr>
          <w:bCs/>
          <w:b/>
        </w:rPr>
        <w:t xml:space="preserve">Statistician Signature:</w:t>
      </w:r>
      <w:r>
        <w:t xml:space="preserve"> </w:t>
      </w:r>
      <w:r>
        <w:t xml:space="preserve">Dr. Amir Hosseini   |  </w:t>
      </w:r>
      <w:r>
        <w:t xml:space="preserve"> </w:t>
      </w:r>
      <w:r>
        <w:rPr>
          <w:bCs/>
          <w:b/>
        </w:rPr>
        <w:t xml:space="preserve">Date:</w:t>
      </w:r>
      <w:r>
        <w:t xml:space="preserve"> </w:t>
      </w:r>
      <w:r>
        <w:t xml:space="preserve">15 June 2025   |  </w:t>
      </w:r>
      <w:r>
        <w:t xml:space="preserve"> </w:t>
      </w:r>
      <w:r>
        <w:rPr>
          <w:bCs/>
          <w:b/>
        </w:rPr>
        <w:t xml:space="preserve">Stamp:</w:t>
      </w:r>
      <w:r>
        <w:t xml:space="preserve"> </w:t>
      </w:r>
      <w:r>
        <w:t xml:space="preserve">[Official Seal]</w:t>
      </w:r>
    </w:p>
    <w:p>
      <w:pPr>
        <w:pStyle w:val="BodyText"/>
      </w:pPr>
      <w:r>
        <w:rPr>
          <w:bCs/>
          <w:b/>
        </w:rPr>
        <w:t xml:space="preserve">Client Authorized Signatory:</w:t>
      </w:r>
      <w:r>
        <w:t xml:space="preserve"> </w:t>
      </w:r>
      <w:r>
        <w:t xml:space="preserve">Ms. Fatemeh Rahimi   |  </w:t>
      </w:r>
      <w:r>
        <w:t xml:space="preserve"> </w:t>
      </w:r>
      <w:r>
        <w:rPr>
          <w:bCs/>
          <w:b/>
        </w:rPr>
        <w:t xml:space="preserve">Date:</w:t>
      </w:r>
      <w:r>
        <w:t xml:space="preserve"> </w:t>
      </w:r>
      <w:r>
        <w:t xml:space="preserve">____________   |  </w:t>
      </w:r>
      <w:r>
        <w:t xml:space="preserve"> </w:t>
      </w:r>
      <w:r>
        <w:rPr>
          <w:bCs/>
          <w:b/>
        </w:rPr>
        <w:t xml:space="preserve">Stamp:</w:t>
      </w:r>
      <w:r>
        <w:t xml:space="preserve"> </w:t>
      </w:r>
      <w:r>
        <w:t xml:space="preserve">[Company Seal]</w:t>
      </w:r>
    </w:p>
    <w:p>
      <w:pPr>
        <w:pStyle w:val="BodyText"/>
      </w:pPr>
      <w:r>
        <w:t xml:space="preserve">This Invoice has been generated in accordance with the electronic invoicing requirements of the Iranian National Tax Administration. A digital copy has been registered in the national e-invoice system under reference number EINV-THR-2025-0472-IR.</w:t>
      </w:r>
    </w:p>
    <w:bookmarkEnd w:id="24"/>
    <w:p>
      <w:pPr>
        <w:pStyle w:val="BodyText"/>
      </w:pPr>
      <w:r>
        <w:t xml:space="preserve">Invoice INV-IR-THR-2025-0472 | Statistician: Dr. Amir Hosseini | Location: Tehran, Iran</w:t>
      </w:r>
    </w:p>
    <w:p>
      <w:pPr>
        <w:pStyle w:val="BodyText"/>
      </w:pPr>
      <w:r>
        <w:t xml:space="preserve">This document is a legally binding Invoice issued under the commercial laws of the Islamic Republic of Iran. For inquiries regarding this Invoice, please contact the Statistician at the address listed above or via the registered email in Tehran, Iran.</w:t>
      </w:r>
    </w:p>
    <w:p>
      <w:pPr>
        <w:pStyle w:val="BodyText"/>
      </w:pPr>
      <w:r>
        <w:t xml:space="preserve">© 2025 Hosseini Statistical Consulting, Tehran, Iran.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Iran Tehran</dc:title>
  <dc:creator/>
  <dc:language>en</dc:language>
  <cp:keywords/>
  <dcterms:created xsi:type="dcterms:W3CDTF">2026-10-10T02:39:16Z</dcterms:created>
  <dcterms:modified xsi:type="dcterms:W3CDTF">2026-10-10T02:39:16Z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