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Japan</w:t>
      </w:r>
      <w:r>
        <w:t xml:space="preserve"> </w:t>
      </w:r>
      <w:r>
        <w:t xml:space="preserve">Kyoto</w:t>
      </w:r>
    </w:p>
    <w:p>
      <w:pPr>
        <w:pStyle w:val="FirstParagraph"/>
      </w:pPr>
      <w:r>
        <w:t xml:space="preserve">INVOICE</w:t>
      </w:r>
    </w:p>
    <w:p>
      <w:pPr>
        <w:pStyle w:val="BodyText"/>
      </w:pPr>
      <w:r>
        <w:t xml:space="preserve">Professional Statistician Services — Japan Kyoto Region</w:t>
      </w:r>
    </w:p>
    <w:p>
      <w:pPr>
        <w:pStyle w:val="BodyText"/>
      </w:pPr>
      <w:r>
        <w:t xml:space="preserve">PAID — CONFIRMED</w:t>
      </w:r>
    </w:p>
    <w:bookmarkStart w:id="20" w:name="invoice-details"/>
    <w:p>
      <w:pPr>
        <w:pStyle w:val="Heading3"/>
      </w:pPr>
      <w:r>
        <w:t xml:space="preserve">Invoice Details</w:t>
      </w:r>
    </w:p>
    <w:p>
      <w:pPr>
        <w:pStyle w:val="FirstParagraph"/>
      </w:pPr>
      <w:r>
        <w:rPr>
          <w:bCs/>
          <w:b/>
        </w:rPr>
        <w:t xml:space="preserve">Invoice No.:</w:t>
      </w:r>
      <w:r>
        <w:t xml:space="preserve"> </w:t>
      </w:r>
      <w:r>
        <w:t xml:space="preserve">KYO-STAT-2025-0472</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Period:</w:t>
      </w:r>
      <w:r>
        <w:t xml:space="preserve"> </w:t>
      </w:r>
      <w:r>
        <w:t xml:space="preserve">April 1 – May 31, 2025</w:t>
      </w:r>
    </w:p>
    <w:p>
      <w:pPr>
        <w:pStyle w:val="BodyText"/>
      </w:pPr>
      <w:r>
        <w:rPr>
          <w:bCs/>
          <w:b/>
        </w:rPr>
        <w:t xml:space="preserve">Currency:</w:t>
      </w:r>
      <w:r>
        <w:t xml:space="preserve"> </w:t>
      </w:r>
      <w:r>
        <w:t xml:space="preserve">Japanese Yen (JPY)</w:t>
      </w:r>
    </w:p>
    <w:bookmarkEnd w:id="20"/>
    <w:bookmarkStart w:id="21" w:name="prepared-by-statistician"/>
    <w:p>
      <w:pPr>
        <w:pStyle w:val="Heading4"/>
      </w:pPr>
      <w:r>
        <w:t xml:space="preserve">Prepared By (Statistician)</w:t>
      </w:r>
    </w:p>
    <w:p>
      <w:pPr>
        <w:pStyle w:val="FirstParagraph"/>
      </w:pPr>
      <w:r>
        <w:rPr>
          <w:bCs/>
          <w:b/>
        </w:rPr>
        <w:t xml:space="preserve">Dr. Kenji Tanaka, Ph.D. (Statistics)</w:t>
      </w:r>
    </w:p>
    <w:p>
      <w:pPr>
        <w:pStyle w:val="BodyText"/>
      </w:pPr>
      <w:r>
        <w:t xml:space="preserve">Independent Statistician &amp; Data Analyst</w:t>
      </w:r>
    </w:p>
    <w:p>
      <w:pPr>
        <w:pStyle w:val="BodyText"/>
      </w:pPr>
      <w:r>
        <w:t xml:space="preserve">Tanaka Statistical Consulting Office</w:t>
      </w:r>
    </w:p>
    <w:p>
      <w:pPr>
        <w:pStyle w:val="BodyText"/>
      </w:pPr>
      <w:r>
        <w:t xml:space="preserve">2-14-8 Higashiyama, Gion-machi</w:t>
      </w:r>
    </w:p>
    <w:p>
      <w:pPr>
        <w:pStyle w:val="BodyText"/>
      </w:pPr>
      <w:r>
        <w:t xml:space="preserve">Kyoto-shi, Kyoto-fu 605-0073</w:t>
      </w:r>
    </w:p>
    <w:p>
      <w:pPr>
        <w:pStyle w:val="BodyText"/>
      </w:pPr>
      <w:r>
        <w:t xml:space="preserve">Japan</w:t>
      </w:r>
    </w:p>
    <w:p>
      <w:pPr>
        <w:pStyle w:val="BodyText"/>
      </w:pPr>
      <w:r>
        <w:t xml:space="preserve">Tel: +81-75-555-0142</w:t>
      </w:r>
    </w:p>
    <w:p>
      <w:pPr>
        <w:pStyle w:val="BodyText"/>
      </w:pPr>
      <w:r>
        <w:t xml:space="preserve">Email: k.tanaka@kyotostat.jp</w:t>
      </w:r>
    </w:p>
    <w:p>
      <w:pPr>
        <w:pStyle w:val="BodyText"/>
      </w:pPr>
      <w:r>
        <w:t xml:space="preserve">Corporation No.: 4010401001234</w:t>
      </w:r>
    </w:p>
    <w:bookmarkEnd w:id="21"/>
    <w:bookmarkStart w:id="22" w:name="billed-to-client"/>
    <w:p>
      <w:pPr>
        <w:pStyle w:val="Heading4"/>
      </w:pPr>
      <w:r>
        <w:t xml:space="preserve">Billed To (Client)</w:t>
      </w:r>
    </w:p>
    <w:p>
      <w:pPr>
        <w:pStyle w:val="FirstParagraph"/>
      </w:pPr>
      <w:r>
        <w:rPr>
          <w:bCs/>
          <w:b/>
        </w:rPr>
        <w:t xml:space="preserve">Kyoto Prefectural Institute of Technology</w:t>
      </w:r>
    </w:p>
    <w:p>
      <w:pPr>
        <w:pStyle w:val="BodyText"/>
      </w:pPr>
      <w:r>
        <w:t xml:space="preserve">Department of Applied Mathematics</w:t>
      </w:r>
    </w:p>
    <w:p>
      <w:pPr>
        <w:pStyle w:val="BodyText"/>
      </w:pPr>
      <w:r>
        <w:t xml:space="preserve">126 Horikawa-cho, Yamakoshi</w:t>
      </w:r>
    </w:p>
    <w:p>
      <w:pPr>
        <w:pStyle w:val="BodyText"/>
      </w:pPr>
      <w:r>
        <w:t xml:space="preserve">Nakagyo-ku, Kyoto-shi</w:t>
      </w:r>
    </w:p>
    <w:p>
      <w:pPr>
        <w:pStyle w:val="BodyText"/>
      </w:pPr>
      <w:r>
        <w:t xml:space="preserve">Kyoto-fu 606-8585</w:t>
      </w:r>
    </w:p>
    <w:p>
      <w:pPr>
        <w:pStyle w:val="BodyText"/>
      </w:pPr>
      <w:r>
        <w:t xml:space="preserve">Japan</w:t>
      </w:r>
    </w:p>
    <w:p>
      <w:pPr>
        <w:pStyle w:val="BodyText"/>
      </w:pPr>
      <w:r>
        <w:t xml:space="preserve">Attn: Prof. Yuki Sato, Department Head</w:t>
      </w:r>
    </w:p>
    <w:p>
      <w:pPr>
        <w:pStyle w:val="BodyText"/>
      </w:pPr>
      <w:r>
        <w:t xml:space="preserve">Tel: +81-75-701-2111</w:t>
      </w:r>
    </w:p>
    <w:p>
      <w:pPr>
        <w:pStyle w:val="BodyText"/>
      </w:pPr>
      <w:r>
        <w:t xml:space="preserve">Email: sato.yuki@kit-kyoto.ac.jp</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Statistician Services</w:t>
            </w:r>
          </w:p>
        </w:tc>
        <w:tc>
          <w:tcPr/>
          <w:p>
            <w:pPr>
              <w:pStyle w:val="Compact"/>
              <w:jc w:val="left"/>
            </w:pPr>
            <w:r>
              <w:t xml:space="preserve">Service Category</w:t>
            </w:r>
          </w:p>
        </w:tc>
        <w:tc>
          <w:tcPr/>
          <w:p>
            <w:pPr>
              <w:pStyle w:val="Compact"/>
              <w:jc w:val="left"/>
            </w:pPr>
            <w:r>
              <w:t xml:space="preserve">Hours / Units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Comprehensive statistical analysis of regional demographic data for the Japan Kyoto metropolitan area, including population density modeling, migration pattern regression, and multivariate hypothesis testing for the fiscal year 2024–2025.</w:t>
            </w:r>
          </w:p>
        </w:tc>
        <w:tc>
          <w:tcPr/>
          <w:p>
            <w:pPr>
              <w:pStyle w:val="Compact"/>
              <w:jc w:val="left"/>
            </w:pPr>
            <w:r>
              <w:t xml:space="preserve">Applied Statistics</w:t>
            </w:r>
          </w:p>
        </w:tc>
        <w:tc>
          <w:tcPr/>
          <w:p>
            <w:pPr>
              <w:pStyle w:val="Compact"/>
              <w:jc w:val="left"/>
            </w:pPr>
            <w:r>
              <w:t xml:space="preserve">48 hrs</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2</w:t>
            </w:r>
          </w:p>
        </w:tc>
        <w:tc>
          <w:tcPr/>
          <w:p>
            <w:pPr>
              <w:pStyle w:val="Compact"/>
              <w:jc w:val="left"/>
            </w:pPr>
            <w:r>
              <w:t xml:space="preserve">Design and implementation of a Bayesian statistical framework for forecasting seasonal tourism revenue in the Japan Kyoto cultural heritage districts (Gion, Fushimi, Arashiyama). Includes prior distribution calibration and posterior predictive checks.</w:t>
            </w:r>
          </w:p>
        </w:tc>
        <w:tc>
          <w:tcPr/>
          <w:p>
            <w:pPr>
              <w:pStyle w:val="Compact"/>
              <w:jc w:val="left"/>
            </w:pPr>
            <w:r>
              <w:t xml:space="preserve">Bayesian Modeling</w:t>
            </w:r>
          </w:p>
        </w:tc>
        <w:tc>
          <w:tcPr/>
          <w:p>
            <w:pPr>
              <w:pStyle w:val="Compact"/>
              <w:jc w:val="left"/>
            </w:pPr>
            <w:r>
              <w:t xml:space="preserve">36 hrs</w:t>
            </w:r>
          </w:p>
        </w:tc>
        <w:tc>
          <w:tcPr/>
          <w:p>
            <w:pPr>
              <w:pStyle w:val="Compact"/>
              <w:jc w:val="left"/>
            </w:pPr>
            <w:r>
              <w:t xml:space="preserve">¥14,500</w:t>
            </w:r>
          </w:p>
        </w:tc>
        <w:tc>
          <w:tcPr/>
          <w:p>
            <w:pPr>
              <w:pStyle w:val="Compact"/>
              <w:jc w:val="left"/>
            </w:pPr>
            <w:r>
              <w:t xml:space="preserve">¥522,000</w:t>
            </w:r>
          </w:p>
        </w:tc>
      </w:tr>
      <w:tr>
        <w:tc>
          <w:tcPr/>
          <w:p>
            <w:pPr>
              <w:pStyle w:val="Compact"/>
              <w:jc w:val="left"/>
            </w:pPr>
            <w:r>
              <w:t xml:space="preserve">3</w:t>
            </w:r>
          </w:p>
        </w:tc>
        <w:tc>
          <w:tcPr/>
          <w:p>
            <w:pPr>
              <w:pStyle w:val="Compact"/>
              <w:jc w:val="left"/>
            </w:pPr>
            <w:r>
              <w:t xml:space="preserve">Preparation of a peer-reviewed quality statistical report for the Kyoto Prefectural Board of Education, covering standardized test score distributions, effect size calculations, and confidence interval estimations across 142 schools in the Japan Kyoto region.</w:t>
            </w:r>
          </w:p>
        </w:tc>
        <w:tc>
          <w:tcPr/>
          <w:p>
            <w:pPr>
              <w:pStyle w:val="Compact"/>
              <w:jc w:val="left"/>
            </w:pPr>
            <w:r>
              <w:t xml:space="preserve">Report Writing</w:t>
            </w:r>
          </w:p>
        </w:tc>
        <w:tc>
          <w:tcPr/>
          <w:p>
            <w:pPr>
              <w:pStyle w:val="Compact"/>
              <w:jc w:val="left"/>
            </w:pPr>
            <w:r>
              <w:t xml:space="preserve">24 hrs</w:t>
            </w:r>
          </w:p>
        </w:tc>
        <w:tc>
          <w:tcPr/>
          <w:p>
            <w:pPr>
              <w:pStyle w:val="Compact"/>
              <w:jc w:val="left"/>
            </w:pPr>
            <w:r>
              <w:t xml:space="preserve">¥11,000</w:t>
            </w:r>
          </w:p>
        </w:tc>
        <w:tc>
          <w:tcPr/>
          <w:p>
            <w:pPr>
              <w:pStyle w:val="Compact"/>
              <w:jc w:val="left"/>
            </w:pPr>
            <w:r>
              <w:t xml:space="preserve">¥264,000</w:t>
            </w:r>
          </w:p>
        </w:tc>
      </w:tr>
      <w:tr>
        <w:tc>
          <w:tcPr/>
          <w:p>
            <w:pPr>
              <w:pStyle w:val="Compact"/>
              <w:jc w:val="left"/>
            </w:pPr>
            <w:r>
              <w:t xml:space="preserve">4</w:t>
            </w:r>
          </w:p>
        </w:tc>
        <w:tc>
          <w:tcPr/>
          <w:p>
            <w:pPr>
              <w:pStyle w:val="Compact"/>
              <w:jc w:val="left"/>
            </w:pPr>
            <w:r>
              <w:t xml:space="preserve">On-site consultation and workshop facilitation for the Japan Kyoto University Graduate School of Engineering. The Statistician conducted two full-day workshops on experimental design, ANOVA procedures, and statistical software (R, SPSS) for a cohort of 35 graduate students.</w:t>
            </w:r>
          </w:p>
        </w:tc>
        <w:tc>
          <w:tcPr/>
          <w:p>
            <w:pPr>
              <w:pStyle w:val="Compact"/>
              <w:jc w:val="left"/>
            </w:pPr>
            <w:r>
              <w:t xml:space="preserve">Consultation &amp; Training</w:t>
            </w:r>
          </w:p>
        </w:tc>
        <w:tc>
          <w:tcPr/>
          <w:p>
            <w:pPr>
              <w:pStyle w:val="Compact"/>
              <w:jc w:val="left"/>
            </w:pPr>
            <w:r>
              <w:t xml:space="preserve">16 hrs</w:t>
            </w:r>
          </w:p>
        </w:tc>
        <w:tc>
          <w:tcPr/>
          <w:p>
            <w:pPr>
              <w:pStyle w:val="Compact"/>
              <w:jc w:val="left"/>
            </w:pPr>
            <w:r>
              <w:t xml:space="preserve">¥18,000</w:t>
            </w:r>
          </w:p>
        </w:tc>
        <w:tc>
          <w:tcPr/>
          <w:p>
            <w:pPr>
              <w:pStyle w:val="Compact"/>
              <w:jc w:val="left"/>
            </w:pPr>
            <w:r>
              <w:t xml:space="preserve">¥288,000</w:t>
            </w:r>
          </w:p>
        </w:tc>
      </w:tr>
      <w:tr>
        <w:tc>
          <w:tcPr/>
          <w:p>
            <w:pPr>
              <w:pStyle w:val="Compact"/>
              <w:jc w:val="left"/>
            </w:pPr>
            <w:r>
              <w:t xml:space="preserve">5</w:t>
            </w:r>
          </w:p>
        </w:tc>
        <w:tc>
          <w:tcPr/>
          <w:p>
            <w:pPr>
              <w:pStyle w:val="Compact"/>
              <w:jc w:val="left"/>
            </w:pPr>
            <w:r>
              <w:t xml:space="preserve">Development of a time-series statistical model (ARIMA-GARCH) for monitoring air quality index fluctuations in the Japan Kyoto basin, with automated anomaly detection thresholds and monthly statistical summaries delivered to the Kyoto City Environmental Bureau.</w:t>
            </w:r>
          </w:p>
        </w:tc>
        <w:tc>
          <w:tcPr/>
          <w:p>
            <w:pPr>
              <w:pStyle w:val="Compact"/>
              <w:jc w:val="left"/>
            </w:pPr>
            <w:r>
              <w:t xml:space="preserve">Time-Series Analysis</w:t>
            </w:r>
          </w:p>
        </w:tc>
        <w:tc>
          <w:tcPr/>
          <w:p>
            <w:pPr>
              <w:pStyle w:val="Compact"/>
              <w:jc w:val="left"/>
            </w:pPr>
            <w:r>
              <w:t xml:space="preserve">32 hrs</w:t>
            </w:r>
          </w:p>
        </w:tc>
        <w:tc>
          <w:tcPr/>
          <w:p>
            <w:pPr>
              <w:pStyle w:val="Compact"/>
              <w:jc w:val="left"/>
            </w:pPr>
            <w:r>
              <w:t xml:space="preserve">¥13,000</w:t>
            </w:r>
          </w:p>
        </w:tc>
        <w:tc>
          <w:tcPr/>
          <w:p>
            <w:pPr>
              <w:pStyle w:val="Compact"/>
              <w:jc w:val="left"/>
            </w:pPr>
            <w:r>
              <w:t xml:space="preserve">¥416,000</w:t>
            </w:r>
          </w:p>
        </w:tc>
      </w:tr>
      <w:tr>
        <w:tc>
          <w:tcPr/>
          <w:p>
            <w:pPr>
              <w:pStyle w:val="Compact"/>
              <w:jc w:val="left"/>
            </w:pPr>
            <w:r>
              <w:t xml:space="preserve">5</w:t>
            </w:r>
          </w:p>
        </w:tc>
        <w:tc>
          <w:tcPr/>
          <w:p>
            <w:pPr>
              <w:pStyle w:val="Compact"/>
              <w:jc w:val="left"/>
            </w:pPr>
            <w:r>
              <w:t xml:space="preserve">Statistical data cleaning, outlier detection, and imputation of missing values in a 12,000-record dataset pertaining to agricultural yield statistics collected from farms in the Japan Kyoto prefectural countryside.</w:t>
            </w:r>
          </w:p>
        </w:tc>
        <w:tc>
          <w:tcPr/>
          <w:p>
            <w:pPr>
              <w:pStyle w:val="Compact"/>
              <w:jc w:val="left"/>
            </w:pPr>
            <w:r>
              <w:t xml:space="preserve">Data Processing</w:t>
            </w:r>
          </w:p>
        </w:tc>
        <w:tc>
          <w:tcPr/>
          <w:p>
            <w:pPr>
              <w:pStyle w:val="Compact"/>
              <w:jc w:val="left"/>
            </w:pPr>
            <w:r>
              <w:t xml:space="preserve">20 hrs</w:t>
            </w:r>
          </w:p>
        </w:tc>
        <w:tc>
          <w:tcPr/>
          <w:p>
            <w:pPr>
              <w:pStyle w:val="Compact"/>
              <w:jc w:val="left"/>
            </w:pPr>
            <w:r>
              <w:t xml:space="preserve">¥9,500</w:t>
            </w:r>
          </w:p>
        </w:tc>
        <w:tc>
          <w:tcPr/>
          <w:p>
            <w:pPr>
              <w:pStyle w:val="Compact"/>
              <w:jc w:val="left"/>
            </w:pPr>
            <w:r>
              <w:t xml:space="preserve">¥190,000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¥2,256,000</w:t>
            </w:r>
          </w:p>
        </w:tc>
      </w:tr>
      <w:tr>
        <w:tc>
          <w:tcPr/>
          <w:p>
            <w:pPr>
              <w:pStyle w:val="Compact"/>
              <w:jc w:val="left"/>
            </w:pPr>
            <w:r>
              <w:t xml:space="preserve">Consumption Tax (10% — Japan National Rate)</w:t>
            </w:r>
          </w:p>
        </w:tc>
        <w:tc>
          <w:tcPr/>
          <w:p>
            <w:pPr>
              <w:pStyle w:val="Compact"/>
              <w:jc w:val="right"/>
            </w:pPr>
            <w:r>
              <w:t xml:space="preserve">¥225,600</w:t>
            </w:r>
          </w:p>
        </w:tc>
      </w:tr>
      <w:tr>
        <w:tc>
          <w:tcPr/>
          <w:p>
            <w:pPr>
              <w:pStyle w:val="Compact"/>
              <w:jc w:val="left"/>
            </w:pPr>
            <w:r>
              <w:t xml:space="preserve">Kyoto Prefectural Inhabitant Tax Surcharge (2%)</w:t>
            </w:r>
          </w:p>
        </w:tc>
        <w:tc>
          <w:tcPr/>
          <w:p>
            <w:pPr>
              <w:pStyle w:val="Compact"/>
              <w:jc w:val="right"/>
            </w:pPr>
            <w:r>
              <w:t xml:space="preserve">¥45,120</w:t>
            </w:r>
          </w:p>
        </w:tc>
      </w:tr>
      <w:tr>
        <w:tc>
          <w:tcPr/>
          <w:p>
            <w:pPr>
              <w:pStyle w:val="Compact"/>
              <w:jc w:val="left"/>
            </w:pPr>
            <w:r>
              <w:t xml:space="preserve">Grand Total Due</w:t>
            </w:r>
          </w:p>
        </w:tc>
        <w:tc>
          <w:tcPr/>
          <w:p>
            <w:pPr>
              <w:pStyle w:val="Compact"/>
              <w:jc w:val="right"/>
            </w:pPr>
            <w:r>
              <w:t xml:space="preserve">¥2,526,720</w:t>
            </w:r>
          </w:p>
        </w:tc>
      </w:tr>
    </w:tbl>
    <w:bookmarkStart w:id="23" w:name="payment-terms-instructions"/>
    <w:p>
      <w:pPr>
        <w:pStyle w:val="Heading4"/>
      </w:pPr>
      <w:r>
        <w:t xml:space="preserve">Payment Terms &amp; Instructions</w:t>
      </w:r>
    </w:p>
    <w:p>
      <w:pPr>
        <w:pStyle w:val="FirstParagraph"/>
      </w:pPr>
      <w:r>
        <w:rPr>
          <w:bCs/>
          <w:b/>
        </w:rPr>
        <w:t xml:space="preserve">Payment Method:</w:t>
      </w:r>
      <w:r>
        <w:t xml:space="preserve"> </w:t>
      </w:r>
      <w:r>
        <w:t xml:space="preserve">Bank Transfer (Japanese Domestic Wire / Ginko)</w:t>
      </w:r>
    </w:p>
    <w:p>
      <w:pPr>
        <w:pStyle w:val="BodyText"/>
      </w:pPr>
      <w:r>
        <w:rPr>
          <w:bCs/>
          <w:b/>
        </w:rPr>
        <w:t xml:space="preserve">Bank:</w:t>
      </w:r>
      <w:r>
        <w:t xml:space="preserve"> </w:t>
      </w:r>
      <w:r>
        <w:t xml:space="preserve">Mizuho Bank, Kyoto Gion Branch</w:t>
      </w:r>
    </w:p>
    <w:p>
      <w:pPr>
        <w:pStyle w:val="BodyText"/>
      </w:pPr>
      <w:r>
        <w:rPr>
          <w:bCs/>
          <w:b/>
        </w:rPr>
        <w:t xml:space="preserve">Account Name:</w:t>
      </w:r>
      <w:r>
        <w:t xml:space="preserve"> </w:t>
      </w:r>
      <w:r>
        <w:t xml:space="preserve">Tanaka Kenji</w:t>
      </w:r>
    </w:p>
    <w:p>
      <w:pPr>
        <w:pStyle w:val="BodyText"/>
      </w:pPr>
      <w:r>
        <w:rPr>
          <w:bCs/>
          <w:b/>
        </w:rPr>
        <w:t xml:space="preserve">Account Number:</w:t>
      </w:r>
      <w:r>
        <w:t xml:space="preserve"> </w:t>
      </w:r>
      <w:r>
        <w:t xml:space="preserve">Ordinary (Futsuu) 047-201-8834</w:t>
      </w:r>
    </w:p>
    <w:p>
      <w:pPr>
        <w:pStyle w:val="BodyText"/>
      </w:pPr>
      <w:r>
        <w:rPr>
          <w:bCs/>
          <w:b/>
        </w:rPr>
        <w:t xml:space="preserve">Reference:</w:t>
      </w:r>
      <w:r>
        <w:t xml:space="preserve"> </w:t>
      </w:r>
      <w:r>
        <w:t xml:space="preserve">Please cite Invoice No. KYO-STAT-2025-0472 in the transfer memo.</w:t>
      </w:r>
    </w:p>
    <w:p>
      <w:pPr>
        <w:pStyle w:val="BodyText"/>
      </w:pPr>
      <w:r>
        <w:rPr>
          <w:bCs/>
          <w:b/>
        </w:rPr>
        <w:t xml:space="preserve">Due Date:</w:t>
      </w:r>
      <w:r>
        <w:t xml:space="preserve"> </w:t>
      </w:r>
      <w:r>
        <w:t xml:space="preserve">Payment is due within 30 calendar days from the date of this Invoice, i.e., on or before July 12, 2025. Late payments will incur a statutory interest charge of 1.5% per month as governed by the Japan Civil Code (Article 404).</w:t>
      </w:r>
    </w:p>
    <w:p>
      <w:pPr>
        <w:pStyle w:val="BodyText"/>
      </w:pPr>
      <w:r>
        <w:rPr>
          <w:bCs/>
          <w:b/>
        </w:rPr>
        <w:t xml:space="preserve">Early Payment Discount:</w:t>
      </w:r>
      <w:r>
        <w:t xml:space="preserve"> </w:t>
      </w:r>
      <w:r>
        <w:t xml:space="preserve">A 2% discount applies if the full Invoice amount is remitted within 10 business days of issuance.</w:t>
      </w:r>
    </w:p>
    <w:bookmarkEnd w:id="23"/>
    <w:bookmarkStart w:id="24" w:name="notes-statisticians-declaration"/>
    <w:p>
      <w:pPr>
        <w:pStyle w:val="Heading4"/>
      </w:pPr>
      <w:r>
        <w:t xml:space="preserve">Notes &amp; Statistician's Declaration</w:t>
      </w:r>
    </w:p>
    <w:p>
      <w:pPr>
        <w:pStyle w:val="FirstParagraph"/>
      </w:pPr>
      <w:r>
        <w:t xml:space="preserve">I, Dr. Kenji Tanaka, hereby certify as the responsible Statistician that all statistical analyses, models, and reports referenced in this Invoice were conducted in full compliance with the Japan Society of Statistics (JSS) Code of Professional Conduct and the ethical guidelines of the International Biometric Society.</w:t>
      </w:r>
    </w:p>
    <w:p>
      <w:pPr>
        <w:pStyle w:val="BodyText"/>
      </w:pPr>
      <w:r>
        <w:t xml:space="preserve">All raw datasets, intermediate computational outputs, and final statistical deliverables associated with this engagement are stored on encrypted servers located within the Japan Kyoto metropolitan area in accordance with the Act on the Protection of Personal Information (APPI, 2022 revision). The client retains full intellectual property rights over all derived statistical findings.</w:t>
      </w:r>
    </w:p>
    <w:p>
      <w:pPr>
        <w:pStyle w:val="BodyText"/>
      </w:pPr>
      <w:r>
        <w:t xml:space="preserve">This Invoice constitutes the final and complete billing for all Statistician services rendered during the stated service period. No additional fees, travel expenses, or material costs are applicable, as all work was performed at the Statistician's office in Japan Kyoto or at the client's premises within the same prefecture.</w:t>
      </w:r>
    </w:p>
    <w:p>
      <w:pPr>
        <w:pStyle w:val="BodyText"/>
      </w:pPr>
      <w:r>
        <w:t xml:space="preserve">Should the client require any clarification regarding the statistical methodology, assumptions, or interpretive caveats presented in the associated reports, the Statistician is available for a complimentary 30-minute follow-up consultation within 60 days of Invoice issuance.</w:t>
      </w:r>
    </w:p>
    <w:bookmarkEnd w:id="24"/>
    <w:p>
      <w:pPr>
        <w:pStyle w:val="BodyText"/>
      </w:pPr>
      <w:r>
        <w:rPr>
          <w:bCs/>
          <w:b/>
        </w:rPr>
        <w:t xml:space="preserve">Tanaka Statistical Consulting Office</w:t>
      </w:r>
      <w:r>
        <w:t xml:space="preserve"> </w:t>
      </w:r>
      <w:r>
        <w:t xml:space="preserve">— Registered in Japan Kyoto, Kyoto Prefecture — Tax ID: 4010401001234</w:t>
      </w:r>
    </w:p>
    <w:p>
      <w:pPr>
        <w:pStyle w:val="BodyText"/>
      </w:pPr>
      <w:r>
        <w:t xml:space="preserve">This Invoice was generated electronically and is valid without a physical signature pursuant to Japan's Electronic Documents and Electronic Signatures Act (2001).</w:t>
      </w:r>
    </w:p>
    <w:p>
      <w:pPr>
        <w:pStyle w:val="BodyText"/>
      </w:pPr>
      <w:r>
        <w:t xml:space="preserve">For inquiries regarding this Invoice or future Statistician engagements in the Japan Kyoto region, please contact the office at +81-75-555-0142 or k.tanaka@kyotostat.jp.</w:t>
      </w:r>
    </w:p>
    <w:p>
      <w:pPr>
        <w:pStyle w:val="BodyText"/>
      </w:pPr>
      <w:r>
        <w:t xml:space="preserve">© 2025 Tanaka Statistical Consulting Office. All rights reserved. Invoice KYO-STAT-2025-0472.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Japan Kyoto</dc:title>
  <dc:creator/>
  <dc:language>en</dc:language>
  <cp:keywords/>
  <dcterms:created xsi:type="dcterms:W3CDTF">2026-10-10T03:00:08Z</dcterms:created>
  <dcterms:modified xsi:type="dcterms:W3CDTF">2026-10-10T03:00:08Z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