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statistical-consulting-b.v."/>
    <w:p>
      <w:pPr>
        <w:pStyle w:val="Heading1"/>
      </w:pPr>
      <w:r>
        <w:t xml:space="preserve">Amsterdam Statistical Consulting B.V.</w:t>
      </w:r>
    </w:p>
    <w:p>
      <w:pPr>
        <w:pStyle w:val="FirstParagraph"/>
      </w:pPr>
      <w:r>
        <w:t xml:space="preserve">Keizersgracht 427, 1016 GC Amsterdam, Netherlands</w:t>
      </w:r>
    </w:p>
    <w:p>
      <w:pPr>
        <w:pStyle w:val="BodyText"/>
      </w:pPr>
      <w:r>
        <w:t xml:space="preserve">Phone: +31 (0)20 555 0142</w:t>
      </w:r>
    </w:p>
    <w:p>
      <w:pPr>
        <w:pStyle w:val="BodyText"/>
      </w:pPr>
      <w:r>
        <w:t xml:space="preserve">Email: billing@amsterdamstatistical.nl</w:t>
      </w:r>
    </w:p>
    <w:p>
      <w:pPr>
        <w:pStyle w:val="BodyText"/>
      </w:pPr>
      <w:r>
        <w:t xml:space="preserve">KvK: 87654321 | VAT: NL861234567B01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PROJ-STAT-2025-031</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De Vries &amp; Partners Logistics N.V.</w:t>
      </w:r>
    </w:p>
    <w:p>
      <w:pPr>
        <w:pStyle w:val="BodyText"/>
      </w:pPr>
      <w:r>
        <w:rPr>
          <w:bCs/>
          <w:b/>
        </w:rPr>
        <w:t xml:space="preserve">Address:</w:t>
      </w:r>
      <w:r>
        <w:t xml:space="preserve"> </w:t>
      </w:r>
      <w:r>
        <w:t xml:space="preserve">Herengracht 189, 1015 BS Amsterdam, Netherlands</w:t>
      </w:r>
    </w:p>
    <w:p>
      <w:pPr>
        <w:pStyle w:val="BodyText"/>
      </w:pPr>
      <w:r>
        <w:rPr>
          <w:bCs/>
          <w:b/>
        </w:rPr>
        <w:t xml:space="preserve">Contact:</w:t>
      </w:r>
      <w:r>
        <w:t xml:space="preserve"> </w:t>
      </w:r>
      <w:r>
        <w:t xml:space="preserve">Mr. Jan de Vries, Operations Director</w:t>
      </w:r>
    </w:p>
    <w:p>
      <w:pPr>
        <w:pStyle w:val="BodyText"/>
      </w:pPr>
      <w:r>
        <w:rPr>
          <w:bCs/>
          <w:b/>
        </w:rPr>
        <w:t xml:space="preserve">Email:</w:t>
      </w:r>
      <w:r>
        <w:t xml:space="preserve"> </w:t>
      </w:r>
      <w:r>
        <w:t xml:space="preserve">j.devries@devrieslogistics.nl</w:t>
      </w:r>
    </w:p>
    <w:p>
      <w:pPr>
        <w:pStyle w:val="BodyText"/>
      </w:pPr>
      <w:r>
        <w:rPr>
          <w:bCs/>
          <w:b/>
        </w:rPr>
        <w:t xml:space="preserve">VAT No:</w:t>
      </w:r>
      <w:r>
        <w:t xml:space="preserve"> </w:t>
      </w:r>
      <w:r>
        <w:t xml:space="preserve">NL859876543B01</w:t>
      </w:r>
    </w:p>
    <w:bookmarkEnd w:id="22"/>
    <w:bookmarkStart w:id="23" w:name="service-provider"/>
    <w:p>
      <w:pPr>
        <w:pStyle w:val="Heading3"/>
      </w:pPr>
      <w:r>
        <w:t xml:space="preserve">Service Provider</w:t>
      </w:r>
    </w:p>
    <w:p>
      <w:pPr>
        <w:pStyle w:val="FirstParagraph"/>
      </w:pPr>
      <w:r>
        <w:rPr>
          <w:bCs/>
          <w:b/>
        </w:rPr>
        <w:t xml:space="preserve">Statistician:</w:t>
      </w:r>
      <w:r>
        <w:t xml:space="preserve"> </w:t>
      </w:r>
      <w:r>
        <w:t xml:space="preserve">Dr. Maria van der Berg, Ph.D.</w:t>
      </w:r>
    </w:p>
    <w:p>
      <w:pPr>
        <w:pStyle w:val="BodyText"/>
      </w:pPr>
      <w:r>
        <w:rPr>
          <w:bCs/>
          <w:b/>
        </w:rPr>
        <w:t xml:space="preserve">Specialization:</w:t>
      </w:r>
      <w:r>
        <w:t xml:space="preserve"> </w:t>
      </w:r>
      <w:r>
        <w:t xml:space="preserve">Applied Statistics &amp; Data Analytics</w:t>
      </w:r>
    </w:p>
    <w:p>
      <w:pPr>
        <w:pStyle w:val="BodyText"/>
      </w:pPr>
      <w:r>
        <w:rPr>
          <w:bCs/>
          <w:b/>
        </w:rPr>
        <w:t xml:space="preserve">Address:</w:t>
      </w:r>
      <w:r>
        <w:t xml:space="preserve"> </w:t>
      </w:r>
      <w:r>
        <w:t xml:space="preserve">Keizersgracht 427, 1016 GC Amsterdam, Netherlands</w:t>
      </w:r>
    </w:p>
    <w:p>
      <w:pPr>
        <w:pStyle w:val="BodyText"/>
      </w:pPr>
      <w:r>
        <w:rPr>
          <w:bCs/>
          <w:b/>
        </w:rPr>
        <w:t xml:space="preserve">License:</w:t>
      </w:r>
      <w:r>
        <w:t xml:space="preserve"> </w:t>
      </w:r>
      <w:r>
        <w:t xml:space="preserve">Dutch Statistical Society Member #NL-2019-4471</w:t>
      </w:r>
    </w:p>
    <w:p>
      <w:pPr>
        <w:pStyle w:val="BodyText"/>
      </w:pPr>
      <w:r>
        <w:rPr>
          <w:bCs/>
          <w:b/>
        </w:rPr>
        <w:t xml:space="preserve">Professional Registration:</w:t>
      </w:r>
      <w:r>
        <w:t xml:space="preserve"> </w:t>
      </w:r>
      <w:r>
        <w:t xml:space="preserve">RVO Certified Statistician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statistical analysis of supply chain performance data for the Amsterdam metropolitan region, including regression modelling and variance analysis conducted by the lead Statistician.</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Design and implementation of a multivariate statistical forecasting model for quarterly logistics demand in the Netherlands, prepared and validated by the Statistician.</w:t>
            </w:r>
          </w:p>
        </w:tc>
        <w:tc>
          <w:tcPr/>
          <w:p>
            <w:pPr>
              <w:pStyle w:val="Compact"/>
              <w:jc w:val="left"/>
            </w:pPr>
            <w:r>
              <w:t xml:space="preserve">Apr 2025</w:t>
            </w:r>
          </w:p>
        </w:tc>
        <w:tc>
          <w:tcPr/>
          <w:p>
            <w:pPr>
              <w:pStyle w:val="Compact"/>
              <w:jc w:val="left"/>
            </w:pPr>
            <w:r>
              <w:t xml:space="preserve">32</w:t>
            </w:r>
          </w:p>
        </w:tc>
        <w:tc>
          <w:tcPr/>
          <w:p>
            <w:pPr>
              <w:pStyle w:val="Compact"/>
              <w:jc w:val="left"/>
            </w:pPr>
            <w:r>
              <w:t xml:space="preserve">€125.00</w:t>
            </w:r>
          </w:p>
        </w:tc>
        <w:tc>
          <w:tcPr/>
          <w:p>
            <w:pPr>
              <w:pStyle w:val="Compact"/>
              <w:jc w:val="left"/>
            </w:pPr>
            <w:r>
              <w:t xml:space="preserve">€4,000.00</w:t>
            </w:r>
          </w:p>
        </w:tc>
      </w:tr>
      <w:tr>
        <w:tc>
          <w:tcPr/>
          <w:p>
            <w:pPr>
              <w:pStyle w:val="Compact"/>
              <w:jc w:val="left"/>
            </w:pPr>
            <w:r>
              <w:t xml:space="preserve">3</w:t>
            </w:r>
          </w:p>
        </w:tc>
        <w:tc>
          <w:tcPr/>
          <w:p>
            <w:pPr>
              <w:pStyle w:val="Compact"/>
              <w:jc w:val="left"/>
            </w:pPr>
            <w:r>
              <w:t xml:space="preserve">Statistical quality assurance audit of client data pipelines, including hypothesis testing, confidence interval estimation, and anomaly detection performed by the Statistician in Amsterdam.</w:t>
            </w:r>
          </w:p>
        </w:tc>
        <w:tc>
          <w:tcPr/>
          <w:p>
            <w:pPr>
              <w:pStyle w:val="Compact"/>
              <w:jc w:val="left"/>
            </w:pPr>
            <w:r>
              <w:t xml:space="preserve">Apr – May 2025</w:t>
            </w:r>
          </w:p>
        </w:tc>
        <w:tc>
          <w:tcPr/>
          <w:p>
            <w:pPr>
              <w:pStyle w:val="Compact"/>
              <w:jc w:val="left"/>
            </w:pPr>
            <w:r>
              <w:t xml:space="preserve">24</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Preparation of a detailed statistical report and executive presentation summarizing findings, recommendations, and predictive insights for the board of directors, authored by the Statistician.</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On-site consultation and training session for the client's internal analytics team in Amsterdam, Netherlands, led by the Statistician on advanced statistical methodologies and R programming.</w:t>
            </w:r>
          </w:p>
        </w:tc>
        <w:tc>
          <w:tcPr/>
          <w:p>
            <w:pPr>
              <w:pStyle w:val="Compact"/>
              <w:jc w:val="left"/>
            </w:pPr>
            <w:r>
              <w:t xml:space="preserve">Jun 2025</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€16,200.00</w:t>
            </w:r>
          </w:p>
        </w:tc>
      </w:tr>
      <w:tr>
        <w:tc>
          <w:tcPr/>
          <w:p>
            <w:pPr>
              <w:pStyle w:val="Compact"/>
              <w:jc w:val="left"/>
            </w:pPr>
            <w:r>
              <w:t xml:space="preserve">VAT (21% – Netherlands)</w:t>
            </w:r>
          </w:p>
        </w:tc>
        <w:tc>
          <w:tcPr/>
          <w:p>
            <w:pPr>
              <w:pStyle w:val="Compact"/>
              <w:jc w:val="left"/>
            </w:pPr>
            <w:r>
              <w:t xml:space="preserve">€3,402.00</w:t>
            </w:r>
          </w:p>
        </w:tc>
      </w:tr>
      <w:tr>
        <w:tc>
          <w:tcPr/>
          <w:p>
            <w:pPr>
              <w:pStyle w:val="Compact"/>
              <w:jc w:val="left"/>
            </w:pPr>
            <w:r>
              <w:t xml:space="preserve">Total Amount Due</w:t>
            </w:r>
          </w:p>
        </w:tc>
        <w:tc>
          <w:tcPr/>
          <w:p>
            <w:pPr>
              <w:pStyle w:val="Compact"/>
              <w:jc w:val="left"/>
            </w:pPr>
            <w:r>
              <w:t xml:space="preserve">€19,602.00</w:t>
            </w:r>
          </w:p>
        </w:tc>
      </w:tr>
    </w:tbl>
    <w:bookmarkStart w:id="24" w:name="notes-terms-of-this-invoice"/>
    <w:p>
      <w:pPr>
        <w:pStyle w:val="Heading3"/>
      </w:pPr>
      <w:r>
        <w:t xml:space="preserve">Notes &amp; Terms of This Invoice</w:t>
      </w:r>
    </w:p>
    <w:p>
      <w:pPr>
        <w:pStyle w:val="FirstParagraph"/>
      </w:pPr>
      <w:r>
        <w:t xml:space="preserve">This invoice is issued by Amsterdam Statistical Consulting B.V. for professional statistical services rendered by Dr. Maria van der Berg, a certified Statistician registered in the Netherlands. All statistical analyses, modelling, and reporting were conducted in accordance with Dutch data protection regulations (AVG/GDPR) and professional standards set by the Dutch Statistical Society.</w:t>
      </w:r>
    </w:p>
    <w:p>
      <w:pPr>
        <w:pStyle w:val="BodyText"/>
      </w:pPr>
      <w:r>
        <w:t xml:space="preserve">The Statistician confirms that all methodologies applied during this engagement meet the quality and reproducibility standards required for professional statistical work in the Netherlands. All raw data, intermediate calculations, and final outputs are stored securely in Amsterdam, Netherlands, in compliance with local and European data residency requirements.</w:t>
      </w:r>
    </w:p>
    <w:p>
      <w:pPr>
        <w:pStyle w:val="BodyText"/>
      </w:pPr>
      <w:r>
        <w:t xml:space="preserve">Payment is due within thirty (30) calendar days from the date of this invoice. Late payments are subject to a statutory interest rate of 8% per annum as per Dutch civil law (Burgerlijk Wetboek, Article 6:119). Please reference invoice number INV-2025-0847 in all correspondence and remittances.</w:t>
      </w:r>
    </w:p>
    <w:p>
      <w:pPr>
        <w:pStyle w:val="BodyText"/>
      </w:pPr>
      <w:r>
        <w:t xml:space="preserve">This invoice constitutes a formal request for payment for the statistical consulting services described above. The Statistician reserves the right to withhold final deliverables until full payment has been received. All intellectual property in the statistical models and reports remains with the client upon full settlement of this invoice.</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ING Bank N.V., Amsterdam</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Account Holder:</w:t>
      </w:r>
      <w:r>
        <w:t xml:space="preserve"> </w:t>
      </w:r>
      <w:r>
        <w:t xml:space="preserve">Amsterdam Statistical Consulting B.V.</w:t>
      </w:r>
    </w:p>
    <w:p>
      <w:pPr>
        <w:pStyle w:val="BodyText"/>
      </w:pPr>
      <w:r>
        <w:rPr>
          <w:bCs/>
          <w:b/>
        </w:rPr>
        <w:t xml:space="preserve">Reference:</w:t>
      </w:r>
      <w:r>
        <w:t xml:space="preserve"> </w:t>
      </w:r>
      <w:r>
        <w:t xml:space="preserve">INV-2025-0847</w:t>
      </w:r>
    </w:p>
    <w:bookmarkEnd w:id="25"/>
    <w:bookmarkStart w:id="26" w:name="acceptable-payment-methods"/>
    <w:p>
      <w:pPr>
        <w:pStyle w:val="Heading3"/>
      </w:pPr>
      <w:r>
        <w:t xml:space="preserve">Acceptable Payment Methods</w:t>
      </w:r>
    </w:p>
    <w:p>
      <w:pPr>
        <w:pStyle w:val="FirstParagraph"/>
      </w:pPr>
      <w:r>
        <w:t xml:space="preserve">• SEPA Bank Transfer (preferred)</w:t>
      </w:r>
    </w:p>
    <w:p>
      <w:pPr>
        <w:pStyle w:val="BodyText"/>
      </w:pPr>
      <w:r>
        <w:t xml:space="preserve">• iDEAL (for amounts under €5,000)</w:t>
      </w:r>
    </w:p>
    <w:p>
      <w:pPr>
        <w:pStyle w:val="BodyText"/>
      </w:pPr>
      <w:r>
        <w:t xml:space="preserve">• Credit Card (Visa, Mastercard)</w:t>
      </w:r>
    </w:p>
    <w:p>
      <w:pPr>
        <w:pStyle w:val="BodyText"/>
      </w:pPr>
      <w:r>
        <w:t xml:space="preserve">• Wire Transfer (international clients)</w:t>
      </w:r>
    </w:p>
    <w:p>
      <w:pPr>
        <w:pStyle w:val="BodyText"/>
      </w:pPr>
      <w:r>
        <w:rPr>
          <w:bCs/>
          <w:b/>
        </w:rPr>
        <w:t xml:space="preserve">Payment Currency:</w:t>
      </w:r>
      <w:r>
        <w:t xml:space="preserve"> </w:t>
      </w:r>
      <w:r>
        <w:t xml:space="preserve">Euro (EUR)</w:t>
      </w:r>
    </w:p>
    <w:bookmarkEnd w:id="26"/>
    <w:p>
      <w:pPr>
        <w:pStyle w:val="BodyText"/>
      </w:pPr>
      <w:r>
        <w:rPr>
          <w:bCs/>
          <w:b/>
        </w:rPr>
        <w:t xml:space="preserve">Amsterdam Statistical Consulting B.V.</w:t>
      </w:r>
      <w:r>
        <w:t xml:space="preserve"> </w:t>
      </w:r>
      <w:r>
        <w:t xml:space="preserve">| Keizersgracht 427, 1016 GC Amsterdam, Netherlands</w:t>
      </w:r>
    </w:p>
    <w:p>
      <w:pPr>
        <w:pStyle w:val="BodyText"/>
      </w:pPr>
      <w:r>
        <w:t xml:space="preserve">KvK: 87654321 | VAT: NL861234567B01 | Chamber of Commerce: Amsterdam</w:t>
      </w:r>
    </w:p>
    <w:p>
      <w:pPr>
        <w:pStyle w:val="BodyText"/>
      </w:pPr>
      <w:r>
        <w:t xml:space="preserve">This invoice was generated on 15 June 2025. For questions regarding this invoice or the statistical services provided, please contact billing@amsterdamstatistical.nl or call +31 (0)20 555 0142.</w:t>
      </w:r>
    </w:p>
    <w:p>
      <w:pPr>
        <w:pStyle w:val="BodyText"/>
      </w:pPr>
      <w:r>
        <w:t xml:space="preserve">Thank you for engaging our Statistician for your analytical needs in Amsterdam, Netherlands.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Netherlands Amsterdam</dc:title>
  <dc:creator/>
  <dc:language>en</dc:language>
  <cp:keywords/>
  <dcterms:created xsi:type="dcterms:W3CDTF">2026-10-10T02:19:40Z</dcterms:created>
  <dcterms:modified xsi:type="dcterms:W3CDTF">2026-10-10T02:19:40Z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